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6A77" w14:textId="0D4F0691" w:rsidR="0031134B" w:rsidRPr="006A4EA5" w:rsidRDefault="0031134B" w:rsidP="00E032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ANEXO I - DISPOSICIÓN </w:t>
      </w:r>
      <w:r w:rsidR="001D5B90"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SDEYVE </w:t>
      </w: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Nº </w:t>
      </w:r>
      <w:r w:rsidR="001D5B90" w:rsidRPr="006A4EA5">
        <w:rPr>
          <w:rFonts w:ascii="Arial" w:eastAsia="Arial" w:hAnsi="Arial" w:cs="Arial"/>
          <w:b/>
          <w:color w:val="000000"/>
          <w:sz w:val="24"/>
          <w:szCs w:val="24"/>
        </w:rPr>
        <w:t>001/2023</w:t>
      </w:r>
    </w:p>
    <w:p w14:paraId="061725AF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Convocatoria Interna y Abierta para la presentación de iniciativas de Extensión </w:t>
      </w:r>
    </w:p>
    <w:p w14:paraId="0F64CCFD" w14:textId="77777777" w:rsidR="009F3339" w:rsidRDefault="009F3339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10D64DE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sz w:val="24"/>
          <w:szCs w:val="24"/>
          <w:u w:val="single"/>
        </w:rPr>
        <w:t>Bases y Condiciones</w:t>
      </w:r>
    </w:p>
    <w:p w14:paraId="1668CC11" w14:textId="77777777" w:rsidR="001D5B90" w:rsidRPr="006A4EA5" w:rsidRDefault="001D5B90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77DA221" w14:textId="77777777" w:rsidR="0031134B" w:rsidRPr="006A4EA5" w:rsidRDefault="0031134B" w:rsidP="001D5B90">
      <w:pPr>
        <w:pStyle w:val="Default"/>
        <w:spacing w:before="120" w:after="120" w:line="360" w:lineRule="auto"/>
        <w:jc w:val="both"/>
        <w:rPr>
          <w:b/>
          <w:bCs/>
          <w:color w:val="auto"/>
          <w:u w:val="single"/>
          <w:lang w:val="es-AR"/>
        </w:rPr>
      </w:pPr>
      <w:r w:rsidRPr="006A4EA5">
        <w:rPr>
          <w:b/>
          <w:bCs/>
          <w:color w:val="auto"/>
          <w:u w:val="single"/>
          <w:lang w:val="es-AR"/>
        </w:rPr>
        <w:t>Introducción: La extensión en la UNRN</w:t>
      </w:r>
    </w:p>
    <w:p w14:paraId="7861E0E3" w14:textId="77777777" w:rsidR="0031134B" w:rsidRPr="006A4EA5" w:rsidRDefault="0031134B" w:rsidP="001D5B90">
      <w:pPr>
        <w:pStyle w:val="Default"/>
        <w:spacing w:before="120" w:after="120" w:line="360" w:lineRule="auto"/>
        <w:jc w:val="both"/>
        <w:rPr>
          <w:color w:val="auto"/>
          <w:lang w:val="es-AR"/>
        </w:rPr>
      </w:pPr>
      <w:r w:rsidRPr="006A4EA5">
        <w:rPr>
          <w:color w:val="auto"/>
          <w:lang w:val="es-AR"/>
        </w:rPr>
        <w:t xml:space="preserve">La extensión constituye sin dudas un campo fértil que debe ser abordado en su dimensión pedagógica, política e institucional, advirtiendo su carácter dinamizante e instituyente. La UNRN ha concebido a la "Extensión Universitaria" en su forma más amplia, como parte de la estrategia y el "estilo de desarrollo" de la institución; promoviendo una real y activa participación con las fuerzas sociales y políticas del territorio, reconociendo que el conocimiento no es monopolio de la universidad y que los saberes de la sociedad constituyen aportes sustantivos para la solución de los problemas de desarrollo territorial, comprometiendo la participación de toda la organización universitaria en este emprendimiento. </w:t>
      </w:r>
    </w:p>
    <w:p w14:paraId="5DFD5B86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>En concordancia, el Plan de Desarrollo Institucional 2019-2025 de la UNRN se plantea como ejes estratégicos: a) el fortalecimiento y jerarquización de la extensión, b) la promoción de sinergias internas entre docencia, extensión, investigación y creación artística desde la integralidad de las prácticas universitarias, c) la construcción de una agenda común con el sector público y privado para el abordaje de las necesidades de la comunidad, y d) la consolidación de  áreas de acción e instrumentos de extensión universitaria.</w:t>
      </w:r>
    </w:p>
    <w:p w14:paraId="5BAD15A5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En este contexto, y en el marco del </w:t>
      </w:r>
      <w:r w:rsidRPr="006A4EA5">
        <w:rPr>
          <w:rFonts w:ascii="Arial" w:hAnsi="Arial" w:cs="Arial"/>
          <w:b/>
          <w:bCs/>
          <w:sz w:val="24"/>
          <w:szCs w:val="24"/>
        </w:rPr>
        <w:t xml:space="preserve">Programa de Fortalecimiento de la Extensión Universitaria 2022 </w:t>
      </w:r>
      <w:r w:rsidRPr="006A4EA5">
        <w:rPr>
          <w:rFonts w:ascii="Arial" w:hAnsi="Arial" w:cs="Arial"/>
          <w:sz w:val="24"/>
          <w:szCs w:val="24"/>
        </w:rPr>
        <w:t>de la</w:t>
      </w:r>
      <w:r w:rsidRPr="006A4EA5">
        <w:rPr>
          <w:rFonts w:ascii="Arial" w:hAnsi="Arial" w:cs="Arial"/>
          <w:b/>
          <w:bCs/>
          <w:sz w:val="24"/>
          <w:szCs w:val="24"/>
        </w:rPr>
        <w:t xml:space="preserve"> Secretaría de Políticas Universitarias, </w:t>
      </w:r>
      <w:r w:rsidRPr="006A4EA5">
        <w:rPr>
          <w:rFonts w:ascii="Arial" w:hAnsi="Arial" w:cs="Arial"/>
          <w:sz w:val="24"/>
          <w:szCs w:val="24"/>
        </w:rPr>
        <w:t>se abre el llamado a convocatorias internas a la comunidad UNRN a la presentación de propuestas de acciones y actividades de extensión.</w:t>
      </w:r>
    </w:p>
    <w:p w14:paraId="34111BD0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36D6992" w14:textId="77777777" w:rsidR="009F3339" w:rsidRDefault="009F3339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br w:type="page"/>
      </w:r>
    </w:p>
    <w:p w14:paraId="1D39F87E" w14:textId="2918B1E5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Objetivos de la convocatoria</w:t>
      </w:r>
    </w:p>
    <w:p w14:paraId="53FEB03F" w14:textId="77777777" w:rsidR="0031134B" w:rsidRPr="006A4EA5" w:rsidRDefault="0031134B" w:rsidP="001D5B90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color w:val="auto"/>
          <w:lang w:val="es-AR"/>
        </w:rPr>
      </w:pPr>
      <w:r w:rsidRPr="006A4EA5">
        <w:rPr>
          <w:color w:val="auto"/>
          <w:lang w:val="es-AR"/>
        </w:rPr>
        <w:t xml:space="preserve">Promover la apropiación del enfoque social de la Extensión y el compromiso social universitario por parte de la comunidad UNRN (docentes, nodocentes, investigadores, estudiantes, graduados) en todas las sedes.  </w:t>
      </w:r>
    </w:p>
    <w:p w14:paraId="6CBC3CBF" w14:textId="77777777" w:rsidR="0031134B" w:rsidRPr="006A4EA5" w:rsidRDefault="0031134B" w:rsidP="001D5B9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Ofrecer un espacio de integración social y de reconocimiento institucional y acompañamiento a las propuestas de educación para el trabajo e iniciativas de articulación y diálogo interdisciplinario y multiactoral que atienda y dé respuesta a las necesidades y demandas que surgen de la comunidad.</w:t>
      </w:r>
    </w:p>
    <w:p w14:paraId="0C735FC1" w14:textId="77777777" w:rsidR="0031134B" w:rsidRPr="006A4EA5" w:rsidRDefault="0031134B" w:rsidP="001D5B9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>Ofrecer el acompañamiento institucional y económico a las acciones desarrolladas en el marco de proyectos de trabajo social desarrollados por estudiantes de la comunidad UNRN y a las prácticas en el aula tendientes a la integralidad de funciones.</w:t>
      </w:r>
    </w:p>
    <w:p w14:paraId="412D2609" w14:textId="77777777" w:rsidR="0031134B" w:rsidRPr="006A4EA5" w:rsidRDefault="0031134B" w:rsidP="001D5B9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Acompañar la realización de acciones, eventos y/o talleres artísticos y culturales  que contribuyan a desarrollar y fortalecer las diversas formas en las que se manifiesta la cultura local y regional.</w:t>
      </w:r>
    </w:p>
    <w:p w14:paraId="7C190693" w14:textId="77777777" w:rsidR="0031134B" w:rsidRPr="006A4EA5" w:rsidRDefault="0031134B" w:rsidP="001D5B9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Fomentar la participación activa de los estudiantes, docentes, graduados y </w:t>
      </w:r>
      <w:r w:rsidRPr="006A4EA5">
        <w:rPr>
          <w:rFonts w:ascii="Arial" w:eastAsia="Arial" w:hAnsi="Arial" w:cs="Arial"/>
          <w:color w:val="111111"/>
          <w:sz w:val="24"/>
          <w:szCs w:val="24"/>
        </w:rPr>
        <w:t>Nodocentes en actividades institucionales de extensión y vinculación con el territorio.</w:t>
      </w:r>
    </w:p>
    <w:p w14:paraId="671E3767" w14:textId="77777777" w:rsidR="0031134B" w:rsidRPr="006A4EA5" w:rsidRDefault="0031134B" w:rsidP="001D5B9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eastAsia="Arial" w:hAnsi="Arial" w:cs="Arial"/>
          <w:color w:val="111111"/>
          <w:sz w:val="24"/>
          <w:szCs w:val="24"/>
        </w:rPr>
      </w:pPr>
      <w:r w:rsidRPr="006A4EA5">
        <w:rPr>
          <w:rFonts w:ascii="Arial" w:eastAsia="Arial" w:hAnsi="Arial" w:cs="Arial"/>
          <w:color w:val="111111"/>
          <w:sz w:val="24"/>
          <w:szCs w:val="24"/>
        </w:rPr>
        <w:t>Profundizar los vínculos y la cogestión de propuestas entre la Universidad y las organizaciones públicas y sociales que trabajan en el territorio de Río Negro.</w:t>
      </w:r>
    </w:p>
    <w:p w14:paraId="0D4049F4" w14:textId="77777777" w:rsidR="0031134B" w:rsidRPr="006A4EA5" w:rsidRDefault="0031134B" w:rsidP="001D5B90">
      <w:pPr>
        <w:pStyle w:val="Prrafodelista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Instalar a la UNRN como institución activa y relevante en redes académicas vinculadas a la Extensión universitaria y la participación comunitaria. </w:t>
      </w:r>
    </w:p>
    <w:p w14:paraId="2F265CA0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1" w:name="_2et92p0"/>
      <w:bookmarkEnd w:id="1"/>
    </w:p>
    <w:p w14:paraId="23D44E63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Convocatoria</w:t>
      </w:r>
    </w:p>
    <w:p w14:paraId="22CFF060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Cs/>
          <w:color w:val="000000"/>
          <w:sz w:val="24"/>
          <w:szCs w:val="24"/>
        </w:rPr>
        <w:t>Se trata de</w:t>
      </w: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A4EA5">
        <w:rPr>
          <w:rFonts w:ascii="Arial" w:eastAsia="Arial" w:hAnsi="Arial" w:cs="Arial"/>
          <w:color w:val="000000"/>
          <w:sz w:val="24"/>
          <w:szCs w:val="24"/>
        </w:rPr>
        <w:t>una convocatoria interna dirigida a estudiantes, docentes, nodocentes y graduados de la UNRN destinada a la presentación de propuestas de iniciativas de extensión de corta ejecución a desarrollarse entre Marzo y Septiembre de 2023. Las mismas deben enmarcarse en algunas de las siguientes líneas de acción:</w:t>
      </w:r>
    </w:p>
    <w:p w14:paraId="348381A3" w14:textId="77777777" w:rsidR="009F3339" w:rsidRDefault="009F3339" w:rsidP="001D5B90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7DE42" w14:textId="77777777" w:rsidR="009F3339" w:rsidRDefault="009F333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E45667F" w14:textId="0777D58B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A4EA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Líneas de acción prioritarias</w:t>
      </w:r>
    </w:p>
    <w:p w14:paraId="4A4EAEA2" w14:textId="0E503E33" w:rsidR="0031134B" w:rsidRPr="009F3339" w:rsidRDefault="0031134B" w:rsidP="009F3339">
      <w:pPr>
        <w:pStyle w:val="Prrafodelista"/>
        <w:numPr>
          <w:ilvl w:val="0"/>
          <w:numId w:val="3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F3339">
        <w:rPr>
          <w:rFonts w:ascii="Arial" w:hAnsi="Arial" w:cs="Arial"/>
          <w:b/>
          <w:bCs/>
          <w:sz w:val="24"/>
          <w:szCs w:val="24"/>
        </w:rPr>
        <w:t>Otras economías</w:t>
      </w:r>
    </w:p>
    <w:p w14:paraId="478E5258" w14:textId="77777777" w:rsidR="0031134B" w:rsidRPr="006A4EA5" w:rsidRDefault="0031134B" w:rsidP="009F3339">
      <w:pPr>
        <w:pStyle w:val="Prrafodelista"/>
        <w:tabs>
          <w:tab w:val="left" w:pos="0"/>
          <w:tab w:val="left" w:pos="426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Acompañamiento, asistencia técnica y fortalecimiento de experiencias asociativas del diverso mundo de la Economía Social, Popular y Solidaria; organización social comunitaria y economía del cuidado; fortalecimiento institucional y mejoramiento de procesos de producción, comercialización y distribución regional y agricultura familiar; soberanía alimentaria; desarrollo de tecnologías sociales; entre otras.  </w:t>
      </w:r>
    </w:p>
    <w:p w14:paraId="39F9DD79" w14:textId="77777777" w:rsidR="0031134B" w:rsidRPr="009F3339" w:rsidRDefault="0031134B" w:rsidP="009F3339">
      <w:pPr>
        <w:pStyle w:val="Prrafodelista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F3339">
        <w:rPr>
          <w:rFonts w:ascii="Arial" w:hAnsi="Arial" w:cs="Arial"/>
          <w:b/>
          <w:bCs/>
          <w:sz w:val="24"/>
          <w:szCs w:val="24"/>
        </w:rPr>
        <w:t>Universidad popular</w:t>
      </w:r>
    </w:p>
    <w:p w14:paraId="41B24D30" w14:textId="77777777" w:rsidR="0031134B" w:rsidRPr="006A4EA5" w:rsidRDefault="0031134B" w:rsidP="009F3339">
      <w:pPr>
        <w:pStyle w:val="Prrafodelista"/>
        <w:tabs>
          <w:tab w:val="left" w:pos="426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>Desarrollo o fortalecimiento de capacidades individuales y colectivas en la comunidad a partir de capacitaciones en oficios, cursos diversos de educación para el trabajo y para el desarrollo productivo de la región, capacitaciones en formación ciudadana y política y otras estrategias de educación popular.</w:t>
      </w:r>
    </w:p>
    <w:p w14:paraId="7048094B" w14:textId="77777777" w:rsidR="0031134B" w:rsidRPr="006A4EA5" w:rsidRDefault="0031134B" w:rsidP="009F3339">
      <w:pPr>
        <w:pStyle w:val="Prrafodelista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A4EA5">
        <w:rPr>
          <w:rFonts w:ascii="Arial" w:hAnsi="Arial" w:cs="Arial"/>
          <w:b/>
          <w:bCs/>
          <w:sz w:val="24"/>
          <w:szCs w:val="24"/>
        </w:rPr>
        <w:t>Curricularización de la extensión e integralidad de funciones</w:t>
      </w:r>
    </w:p>
    <w:p w14:paraId="169980CE" w14:textId="77777777" w:rsidR="0031134B" w:rsidRPr="006A4EA5" w:rsidRDefault="0031134B" w:rsidP="009F3339">
      <w:pPr>
        <w:pStyle w:val="Prrafodelista"/>
        <w:tabs>
          <w:tab w:val="left" w:pos="426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>Estrategias de visibilización, formación y fortalecimiento de experiencias existentes en la universidad que transitan estrategias de curricularización de la extensión y procesos de desarrollo hacia la integralidad de las funciones de extensión, docencia e investigación.</w:t>
      </w:r>
    </w:p>
    <w:p w14:paraId="19EF0A5F" w14:textId="77777777" w:rsidR="0031134B" w:rsidRPr="009F3339" w:rsidRDefault="0031134B" w:rsidP="009F3339">
      <w:pPr>
        <w:pStyle w:val="Prrafodelista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F3339">
        <w:rPr>
          <w:rFonts w:ascii="Arial" w:hAnsi="Arial" w:cs="Arial"/>
          <w:b/>
          <w:bCs/>
          <w:sz w:val="24"/>
          <w:szCs w:val="24"/>
        </w:rPr>
        <w:t>Arte, Cultura y Derechos Humanos</w:t>
      </w:r>
    </w:p>
    <w:p w14:paraId="026DA672" w14:textId="77777777" w:rsidR="0031134B" w:rsidRPr="006A4EA5" w:rsidRDefault="0031134B" w:rsidP="009F3339">
      <w:pPr>
        <w:pStyle w:val="Prrafodelista"/>
        <w:tabs>
          <w:tab w:val="left" w:pos="426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Organización y desarrollo de acciones diversas tendientes a promover el debate, aprendizaje y reflexión sobre los derechos humanos; desarrollo y presentación de expresiones artístico-culturales que tengan como eje temático la memoria, verdad, justicia, ampliación y consolidación de derechos, perspectiva de género, respeto a la diversidad, erradicación de la violencia y discursos de odio, entre otros. </w:t>
      </w:r>
    </w:p>
    <w:p w14:paraId="43972547" w14:textId="77777777" w:rsidR="0031134B" w:rsidRPr="009F3339" w:rsidRDefault="0031134B" w:rsidP="009F3339">
      <w:pPr>
        <w:pStyle w:val="Prrafodelista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F3339">
        <w:rPr>
          <w:rFonts w:ascii="Arial" w:hAnsi="Arial" w:cs="Arial"/>
          <w:b/>
          <w:bCs/>
          <w:sz w:val="24"/>
          <w:szCs w:val="24"/>
        </w:rPr>
        <w:t>Educación, Salud y Ambiente</w:t>
      </w:r>
    </w:p>
    <w:p w14:paraId="187DE1AD" w14:textId="77777777" w:rsidR="0031134B" w:rsidRPr="006A4EA5" w:rsidRDefault="0031134B" w:rsidP="001D5B90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>Iniciativas con impacto social tendientes a abordar problemáticas ambientales, mejorar el acceso a la educación y a la salud, preferentemente destinadas a públicos vulnerados; acciones orientadas a generar conciencia por el cuidado de la salud, el bienestar del ser humano y la conservación del ambiente.</w:t>
      </w:r>
    </w:p>
    <w:p w14:paraId="44A351F3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C9D6D48" w14:textId="4D696625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Financiamiento y tipos de iniciativas de extensión</w:t>
      </w:r>
      <w:r w:rsidR="001D5B90"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 w:rsidRPr="006A4EA5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</w:p>
    <w:p w14:paraId="7E763E1E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El monto total asignado a la convocatoria es de $2.000.000. Las propuestas a presentarse se categorizan en los siguientes tipos o instrumentos de acción territorial y pueden solicitar financiamiento hasta los topes estipulados: </w:t>
      </w:r>
    </w:p>
    <w:p w14:paraId="1939F25F" w14:textId="77777777" w:rsidR="0031134B" w:rsidRPr="009F3339" w:rsidRDefault="0031134B" w:rsidP="001D5B90">
      <w:pPr>
        <w:tabs>
          <w:tab w:val="left" w:pos="284"/>
          <w:tab w:val="left" w:pos="1276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3339">
        <w:rPr>
          <w:rFonts w:ascii="Arial" w:eastAsia="Arial" w:hAnsi="Arial" w:cs="Arial"/>
          <w:b/>
          <w:bCs/>
          <w:color w:val="000000"/>
          <w:sz w:val="24"/>
          <w:szCs w:val="24"/>
        </w:rPr>
        <w:t>1) Acciones de extensión: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 Se diseñan como líneas específicas de trabajo con la comunidad. Tienen objetivos a corto plazo y de corta duración (no más de 3 meses de duración).</w:t>
      </w:r>
      <w:r w:rsidRPr="009F3339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Financiamiento máximo a solicitar $60.000. Las propuestas deben presentarse según formulario en Anexo I. </w:t>
      </w:r>
    </w:p>
    <w:p w14:paraId="5F13E886" w14:textId="77777777" w:rsidR="0031134B" w:rsidRPr="009F3339" w:rsidRDefault="0031134B" w:rsidP="001D5B90">
      <w:pPr>
        <w:pStyle w:val="Prrafodelista"/>
        <w:tabs>
          <w:tab w:val="left" w:pos="284"/>
          <w:tab w:val="left" w:pos="1276"/>
        </w:tabs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2) </w:t>
      </w:r>
      <w:r w:rsidRPr="009F3339">
        <w:rPr>
          <w:rFonts w:ascii="Arial" w:eastAsia="Arial" w:hAnsi="Arial" w:cs="Arial"/>
          <w:b/>
          <w:bCs/>
          <w:color w:val="000000"/>
          <w:sz w:val="24"/>
          <w:szCs w:val="24"/>
        </w:rPr>
        <w:t>Talleres artísticos y culturales: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 De 6 encuentros, dirigidos por estudiantes regulares. Financiamiento máximo a solicitar $40.000 (100% en modalidad Asignación Estímulo según Resol. N˚1139/2022). Las propuestas deben presentarse según formulario en Anexo II.</w:t>
      </w:r>
    </w:p>
    <w:p w14:paraId="19CC377F" w14:textId="77777777" w:rsidR="0031134B" w:rsidRPr="009F3339" w:rsidRDefault="0031134B" w:rsidP="001D5B90">
      <w:pPr>
        <w:tabs>
          <w:tab w:val="left" w:pos="284"/>
          <w:tab w:val="left" w:pos="127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F3339">
        <w:rPr>
          <w:rFonts w:ascii="Arial" w:eastAsia="Arial" w:hAnsi="Arial" w:cs="Arial"/>
          <w:b/>
          <w:bCs/>
          <w:color w:val="000000"/>
          <w:sz w:val="24"/>
          <w:szCs w:val="24"/>
        </w:rPr>
        <w:t>3) Acciones culturales barriales: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 Actividades de promoción de propuestas artísticas y culturales en articulación con organizaciones territoriales coordinadas por estudiantes regulares, docentes y/o nodocentes con capacidades y trayectoria en disciplinas artísticas, trabajo barrial y gestión cultural. Financiamiento máximo a solicitar $60.000. Las propuestas deben presentarse según formulario en Anexo III.</w:t>
      </w:r>
    </w:p>
    <w:p w14:paraId="3B39ECE1" w14:textId="7D0328EF" w:rsidR="0031134B" w:rsidRPr="009F3339" w:rsidRDefault="0031134B" w:rsidP="001D5B90">
      <w:pPr>
        <w:pStyle w:val="Prrafodelista"/>
        <w:tabs>
          <w:tab w:val="left" w:pos="284"/>
          <w:tab w:val="left" w:pos="1276"/>
        </w:tabs>
        <w:spacing w:before="120" w:after="120" w:line="360" w:lineRule="auto"/>
        <w:ind w:left="0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3339">
        <w:rPr>
          <w:rFonts w:ascii="Arial" w:eastAsia="Arial" w:hAnsi="Arial" w:cs="Arial"/>
          <w:b/>
          <w:bCs/>
          <w:color w:val="000000"/>
          <w:sz w:val="24"/>
          <w:szCs w:val="24"/>
        </w:rPr>
        <w:t>4) Actividades de educación continua: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 Cursos, capacitaciones, talleres y otras actividades de </w:t>
      </w:r>
      <w:r w:rsidR="00283C2C" w:rsidRPr="009F3339">
        <w:rPr>
          <w:rFonts w:ascii="Arial" w:eastAsia="Arial" w:hAnsi="Arial" w:cs="Arial"/>
          <w:color w:val="000000"/>
          <w:sz w:val="24"/>
          <w:szCs w:val="24"/>
        </w:rPr>
        <w:t>educación abierta y gratuita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 a la comunidad. Financiamiento máximo a solicitar $50.000; Las propuestas deben presentarse según formulario en Anexo IV.</w:t>
      </w:r>
    </w:p>
    <w:p w14:paraId="384146D6" w14:textId="77777777" w:rsidR="0031134B" w:rsidRPr="006A4EA5" w:rsidRDefault="0031134B" w:rsidP="001D5B90">
      <w:pPr>
        <w:pStyle w:val="Prrafodelista"/>
        <w:tabs>
          <w:tab w:val="left" w:pos="284"/>
          <w:tab w:val="left" w:pos="1276"/>
        </w:tabs>
        <w:spacing w:before="120" w:after="120" w:line="360" w:lineRule="auto"/>
        <w:ind w:left="0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3339">
        <w:rPr>
          <w:rFonts w:ascii="Arial" w:eastAsia="Arial" w:hAnsi="Arial" w:cs="Arial"/>
          <w:b/>
          <w:bCs/>
          <w:color w:val="000000"/>
          <w:sz w:val="24"/>
          <w:szCs w:val="24"/>
        </w:rPr>
        <w:t>5) Programas de trabajo social:</w:t>
      </w:r>
      <w:r w:rsidRPr="009F3339">
        <w:rPr>
          <w:rFonts w:ascii="Arial" w:eastAsia="Arial" w:hAnsi="Arial" w:cs="Arial"/>
          <w:color w:val="000000"/>
          <w:sz w:val="24"/>
          <w:szCs w:val="24"/>
        </w:rPr>
        <w:t xml:space="preserve"> Proyectos aprobados a ejecutarse durante 2023. Se debe presentar proyecto aprobado</w:t>
      </w: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 y formulario en Anexo V. Financiamiento máximo a solicitar $50.000.</w:t>
      </w:r>
    </w:p>
    <w:p w14:paraId="488BC14D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80B7FEB" w14:textId="590865B0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Período de inscripción de la convocatoria</w:t>
      </w:r>
      <w:r w:rsidR="009F333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C372D3E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sz w:val="24"/>
          <w:szCs w:val="24"/>
        </w:rPr>
        <w:t>Las propuestas deberán ser presentadas entre el 13 de Febrero y el 19 de Marzo de 2023. El período de evaluación será entre el 20 de marzo y el 3 de Abril de 2023. La modalidad es por ventanilla abierta en el caso de Programas de Trabajo Social. Las propuestas seleccionadas obtendrán el apoyo institucional y administrativo para su desarrollo. Al finalizar el desarrollo de la propuesta, el/la responsable deberá entregar en un plazo de 30 días un informe cualitativo de lo actuado y las rendiciones de gastos correspondientes.</w:t>
      </w:r>
    </w:p>
    <w:p w14:paraId="6DBC2703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62F2C5D" w14:textId="77777777" w:rsidR="009F3339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F333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Evaluación</w:t>
      </w: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16DF171" w14:textId="3AC5D908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Las propuestas serán evaluadas por los equipos de gestión de las  </w:t>
      </w:r>
      <w:r w:rsidRPr="006A4EA5">
        <w:rPr>
          <w:rFonts w:ascii="Arial" w:eastAsia="Arial" w:hAnsi="Arial" w:cs="Arial"/>
          <w:sz w:val="24"/>
          <w:szCs w:val="24"/>
        </w:rPr>
        <w:t>Subsecretarías</w:t>
      </w: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 de Extensión de la Universidad y de Sedes, quienes definirán la política de financiamiento a través de una ordenación por priorización de propuestas. </w:t>
      </w:r>
      <w:r w:rsidRPr="006A4EA5">
        <w:rPr>
          <w:rFonts w:ascii="Arial" w:hAnsi="Arial" w:cs="Arial"/>
          <w:sz w:val="24"/>
          <w:szCs w:val="24"/>
        </w:rPr>
        <w:t>Se valorará con especial atención la adecuación del monto solicitado a la necesidad de la propuesta, a los requisitos de presentación, a las líneas temáticas previstas y a los criterios de evaluación.</w:t>
      </w:r>
    </w:p>
    <w:p w14:paraId="66318377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31D44DCC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Criterios de evaluación:</w:t>
      </w:r>
    </w:p>
    <w:p w14:paraId="38B96B78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Relevancia y pertinencia: público destinatario y adecuación a las líneas de acción prioritarias de esta convocatoria.</w:t>
      </w:r>
    </w:p>
    <w:p w14:paraId="3C5CA4B3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Consistencia y coherencia en la formulación de la propuesta.</w:t>
      </w:r>
    </w:p>
    <w:p w14:paraId="49273327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Congruencia entre las actividades a desarrollar y el presupuesto solicitado</w:t>
      </w:r>
    </w:p>
    <w:p w14:paraId="7FE24DFC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Equilibrio presupuestario: consideración de la infraestructura y materiales requeridos para el desarrollo de la propuesta.</w:t>
      </w:r>
    </w:p>
    <w:p w14:paraId="27D6AF30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Vinculación con las carreras que se dictan en la UNRN.</w:t>
      </w:r>
    </w:p>
    <w:p w14:paraId="720B9AFA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Articulación con espacios barriales/territoriales.</w:t>
      </w:r>
    </w:p>
    <w:p w14:paraId="42456128" w14:textId="77777777" w:rsidR="0031134B" w:rsidRPr="006A4EA5" w:rsidRDefault="0031134B" w:rsidP="001D5B90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Participación activa de estudiantes en la planificación y ejecución de propuestas de extensión.</w:t>
      </w:r>
    </w:p>
    <w:p w14:paraId="7AAD0A94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>A excepción de las actividades de Educación Continua, todas las propuestas deberán contar con participación estudiantil.</w:t>
      </w:r>
    </w:p>
    <w:p w14:paraId="5B7BC1CE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En el caso de propuestas aprobadas de capacitaciones, talleres, cursos y otras actividades de educación continua, el inicio de las mismas quedará supeditado a confirmar el mínimo de </w:t>
      </w:r>
      <w:r w:rsidRPr="006A4EA5">
        <w:rPr>
          <w:rFonts w:ascii="Arial" w:eastAsia="Arial" w:hAnsi="Arial" w:cs="Arial"/>
          <w:sz w:val="24"/>
          <w:szCs w:val="24"/>
        </w:rPr>
        <w:t>8</w:t>
      </w:r>
      <w:r w:rsidRPr="006A4EA5">
        <w:rPr>
          <w:rFonts w:ascii="Arial" w:eastAsia="Arial" w:hAnsi="Arial" w:cs="Arial"/>
          <w:color w:val="000000"/>
          <w:sz w:val="24"/>
          <w:szCs w:val="24"/>
        </w:rPr>
        <w:t xml:space="preserve"> inscriptos.</w:t>
      </w:r>
    </w:p>
    <w:p w14:paraId="35C6E75C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color w:val="111111"/>
          <w:sz w:val="24"/>
          <w:szCs w:val="24"/>
          <w:u w:val="single"/>
        </w:rPr>
        <w:t xml:space="preserve">Ejecución y Rendición de gastos: </w:t>
      </w:r>
    </w:p>
    <w:p w14:paraId="2AA68100" w14:textId="1F7A75D2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>El monto total de financiamiento solicitado deberá presentarse de forma detallada completando el cuadro de presupuesto que forma parte de los formularios de inscripción. Los gastos a financiar por esta Convocatoria deberán corresponder con los incis</w:t>
      </w:r>
      <w:r w:rsidR="00E03289" w:rsidRPr="006A4EA5">
        <w:rPr>
          <w:rFonts w:ascii="Arial" w:hAnsi="Arial" w:cs="Arial"/>
          <w:sz w:val="24"/>
          <w:szCs w:val="24"/>
        </w:rPr>
        <w:t>os y rubros establecidos en el A</w:t>
      </w:r>
      <w:r w:rsidRPr="006A4EA5">
        <w:rPr>
          <w:rFonts w:ascii="Arial" w:hAnsi="Arial" w:cs="Arial"/>
          <w:sz w:val="24"/>
          <w:szCs w:val="24"/>
        </w:rPr>
        <w:t xml:space="preserve">nexo de la Resolución </w:t>
      </w:r>
      <w:r w:rsidRPr="006A4EA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2021-600-APN-ME, disponible en:</w:t>
      </w:r>
    </w:p>
    <w:p w14:paraId="50AFA8E7" w14:textId="2BBB9842" w:rsidR="0031134B" w:rsidRPr="006A4EA5" w:rsidRDefault="00C32B2C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9">
        <w:r w:rsidR="0031134B" w:rsidRPr="006A4EA5">
          <w:rPr>
            <w:rStyle w:val="EnlacedeInternet"/>
            <w:rFonts w:ascii="Arial" w:hAnsi="Arial" w:cs="Arial"/>
            <w:color w:val="auto"/>
            <w:sz w:val="24"/>
            <w:szCs w:val="24"/>
          </w:rPr>
          <w:t>file:///C:/Subsecretaria%20de%20Extension/Prog.%20Fortalecimiento%202022/anexo_2_rubros_financiables_1.pdf</w:t>
        </w:r>
      </w:hyperlink>
      <w:r w:rsidR="00E03289" w:rsidRPr="006A4EA5">
        <w:rPr>
          <w:rStyle w:val="EnlacedeInternet"/>
          <w:rFonts w:ascii="Arial" w:hAnsi="Arial" w:cs="Arial"/>
          <w:color w:val="auto"/>
          <w:sz w:val="24"/>
          <w:szCs w:val="24"/>
        </w:rPr>
        <w:t xml:space="preserve"> </w:t>
      </w:r>
    </w:p>
    <w:p w14:paraId="7DEF7FD4" w14:textId="1410F007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Tal como el anexo lo detalla, </w:t>
      </w:r>
      <w:r w:rsidR="00E03289" w:rsidRPr="006A4EA5">
        <w:rPr>
          <w:rFonts w:ascii="Arial" w:hAnsi="Arial" w:cs="Arial"/>
          <w:sz w:val="24"/>
          <w:szCs w:val="24"/>
        </w:rPr>
        <w:t>NO</w:t>
      </w:r>
      <w:r w:rsidRPr="006A4EA5">
        <w:rPr>
          <w:rFonts w:ascii="Arial" w:hAnsi="Arial" w:cs="Arial"/>
          <w:sz w:val="24"/>
          <w:szCs w:val="24"/>
        </w:rPr>
        <w:t xml:space="preserve"> se contemplarán gastos correspondientes a los siguientes incisos y rubros: </w:t>
      </w:r>
    </w:p>
    <w:p w14:paraId="6807E704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● </w:t>
      </w:r>
      <w:r w:rsidRPr="006A4EA5">
        <w:rPr>
          <w:rFonts w:ascii="Arial" w:hAnsi="Arial" w:cs="Arial"/>
          <w:sz w:val="24"/>
          <w:szCs w:val="24"/>
          <w:u w:val="single"/>
        </w:rPr>
        <w:t>1. Gastos en personal:</w:t>
      </w:r>
      <w:r w:rsidRPr="006A4EA5">
        <w:rPr>
          <w:rFonts w:ascii="Arial" w:hAnsi="Arial" w:cs="Arial"/>
          <w:sz w:val="24"/>
          <w:szCs w:val="24"/>
        </w:rPr>
        <w:t xml:space="preserve"> 1.1. Personal permanente, 1.2. Personal temporario, 1.3. Servicios extraordinarios, 1.4. Asignaciones familiares, 1.5. Asistencia social al personal, 1.6. Beneficios y compensaciones y 1.7. Gabinete de autoridades superiores. </w:t>
      </w:r>
    </w:p>
    <w:p w14:paraId="1236802A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A4EA5">
        <w:rPr>
          <w:rFonts w:ascii="Arial" w:hAnsi="Arial" w:cs="Arial"/>
          <w:sz w:val="24"/>
          <w:szCs w:val="24"/>
        </w:rPr>
        <w:t xml:space="preserve">● </w:t>
      </w:r>
      <w:r w:rsidRPr="006A4EA5">
        <w:rPr>
          <w:rFonts w:ascii="Arial" w:hAnsi="Arial" w:cs="Arial"/>
          <w:sz w:val="24"/>
          <w:szCs w:val="24"/>
          <w:u w:val="single"/>
        </w:rPr>
        <w:t>3.1. Servicios no personales</w:t>
      </w:r>
      <w:r w:rsidRPr="006A4EA5">
        <w:rPr>
          <w:rFonts w:ascii="Arial" w:hAnsi="Arial" w:cs="Arial"/>
          <w:sz w:val="24"/>
          <w:szCs w:val="24"/>
        </w:rPr>
        <w:t xml:space="preserve"> - Servicios Básicos: energía eléctrica, agua, gas, teléfono, correos, otros.</w:t>
      </w:r>
    </w:p>
    <w:p w14:paraId="148D634B" w14:textId="77777777" w:rsidR="009F3339" w:rsidRDefault="009F3339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</w:p>
    <w:p w14:paraId="4FDF7A76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 w:rsidRPr="006A4EA5">
        <w:rPr>
          <w:rFonts w:ascii="Arial" w:eastAsia="Arial" w:hAnsi="Arial" w:cs="Arial"/>
          <w:b/>
          <w:color w:val="111111"/>
          <w:sz w:val="24"/>
          <w:szCs w:val="24"/>
        </w:rPr>
        <w:t>Por cuestiones asociadas a la compatibilidad de normativas de la Universidad Nacional de Río Negro y de la Secretaría de Políticas Universitarias (</w:t>
      </w:r>
      <w:r w:rsidRPr="006A4EA5">
        <w:rPr>
          <w:rFonts w:ascii="Arial" w:hAnsi="Arial" w:cs="Arial"/>
          <w:b/>
          <w:sz w:val="24"/>
          <w:szCs w:val="24"/>
        </w:rPr>
        <w:t xml:space="preserve">Res. </w:t>
      </w:r>
      <w:r w:rsidRPr="006A4EA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2021-600-APN-ME</w:t>
      </w:r>
      <w:r w:rsidRPr="006A4EA5">
        <w:rPr>
          <w:rFonts w:ascii="Arial" w:hAnsi="Arial" w:cs="Arial"/>
          <w:b/>
          <w:sz w:val="24"/>
          <w:szCs w:val="24"/>
        </w:rPr>
        <w:t xml:space="preserve"> y su modificatoria N° 3082 de fecha 19 de octubre de 2021)</w:t>
      </w:r>
      <w:r w:rsidRPr="006A4EA5">
        <w:rPr>
          <w:rFonts w:ascii="Arial" w:eastAsia="Arial" w:hAnsi="Arial" w:cs="Arial"/>
          <w:b/>
          <w:color w:val="111111"/>
          <w:sz w:val="24"/>
          <w:szCs w:val="24"/>
        </w:rPr>
        <w:t xml:space="preserve">, la modalidad de ejecución y rendición de gastos asociados a las propuestas/iniciativas de extensión aprobadas se definirá en cada caso en acuerdo previo entre el equipo responsable de la iniciativa, la Subsecretaría de Extensión de Sede y la Subsecretaría de Extensión de la Universidad. </w:t>
      </w:r>
    </w:p>
    <w:p w14:paraId="4B69EB57" w14:textId="77777777" w:rsidR="0031134B" w:rsidRPr="006A4EA5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/>
          <w:color w:val="111111"/>
          <w:sz w:val="24"/>
          <w:szCs w:val="24"/>
        </w:rPr>
      </w:pPr>
      <w:r w:rsidRPr="006A4EA5">
        <w:rPr>
          <w:rFonts w:ascii="Arial" w:eastAsia="Arial" w:hAnsi="Arial" w:cs="Arial"/>
          <w:b/>
          <w:color w:val="111111"/>
          <w:sz w:val="24"/>
          <w:szCs w:val="24"/>
        </w:rPr>
        <w:t>No se reconocerán comprobantes de gastos sin previa autorización.</w:t>
      </w:r>
    </w:p>
    <w:p w14:paraId="0983B9B8" w14:textId="22E41637" w:rsidR="0031134B" w:rsidRDefault="0031134B" w:rsidP="001D5B90">
      <w:pPr>
        <w:spacing w:before="120" w:after="120" w:line="360" w:lineRule="auto"/>
        <w:jc w:val="both"/>
        <w:rPr>
          <w:rFonts w:ascii="Arial" w:eastAsia="Arial" w:hAnsi="Arial" w:cs="Arial"/>
          <w:bCs/>
          <w:color w:val="111111"/>
          <w:sz w:val="24"/>
          <w:szCs w:val="24"/>
        </w:rPr>
      </w:pPr>
      <w:r w:rsidRPr="006A4EA5">
        <w:rPr>
          <w:rFonts w:ascii="Arial" w:eastAsia="Arial" w:hAnsi="Arial" w:cs="Arial"/>
          <w:b/>
          <w:color w:val="111111"/>
          <w:sz w:val="24"/>
          <w:szCs w:val="24"/>
        </w:rPr>
        <w:t xml:space="preserve">Presentación: </w:t>
      </w:r>
      <w:r w:rsidRPr="006A4EA5">
        <w:rPr>
          <w:rFonts w:ascii="Arial" w:eastAsia="Arial" w:hAnsi="Arial" w:cs="Arial"/>
          <w:bCs/>
          <w:color w:val="111111"/>
          <w:sz w:val="24"/>
          <w:szCs w:val="24"/>
        </w:rPr>
        <w:t xml:space="preserve">Las propuestas deben presentarse por correo electrónico a la cuenta: </w:t>
      </w:r>
      <w:hyperlink r:id="rId10">
        <w:r w:rsidRPr="006A4EA5">
          <w:rPr>
            <w:rStyle w:val="EnlacedeInternet"/>
            <w:rFonts w:ascii="Arial" w:eastAsia="Arial" w:hAnsi="Arial" w:cs="Arial"/>
            <w:bCs/>
            <w:sz w:val="24"/>
            <w:szCs w:val="24"/>
          </w:rPr>
          <w:t>extension@unrn.edu.ar</w:t>
        </w:r>
      </w:hyperlink>
      <w:r w:rsidRPr="006A4EA5">
        <w:rPr>
          <w:rFonts w:ascii="Arial" w:eastAsia="Arial" w:hAnsi="Arial" w:cs="Arial"/>
          <w:bCs/>
          <w:color w:val="111111"/>
          <w:sz w:val="24"/>
          <w:szCs w:val="24"/>
        </w:rPr>
        <w:t xml:space="preserve">  El asunto debe decir: “Convocatoria de extensión 2023-tipo de iniciativa-apellido responsable” (Ej: Convocatoria de Extensión 2023-Tipo5-Fernandez). Enviar formularios y documentación correspondientes a cada tipo de iniciativa tal como se detalla en los anexos I, II, III y IV.</w:t>
      </w:r>
    </w:p>
    <w:sectPr w:rsidR="0031134B" w:rsidSect="005745C6">
      <w:headerReference w:type="default" r:id="rId11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8B7C" w14:textId="77777777" w:rsidR="00C32B2C" w:rsidRDefault="00C32B2C">
      <w:pPr>
        <w:spacing w:after="0" w:line="240" w:lineRule="auto"/>
      </w:pPr>
      <w:r>
        <w:separator/>
      </w:r>
    </w:p>
  </w:endnote>
  <w:endnote w:type="continuationSeparator" w:id="0">
    <w:p w14:paraId="5C589D7A" w14:textId="77777777" w:rsidR="00C32B2C" w:rsidRDefault="00C3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E849" w14:textId="77777777" w:rsidR="00C32B2C" w:rsidRDefault="00C32B2C">
      <w:pPr>
        <w:spacing w:after="0" w:line="240" w:lineRule="auto"/>
      </w:pPr>
      <w:r>
        <w:separator/>
      </w:r>
    </w:p>
  </w:footnote>
  <w:footnote w:type="continuationSeparator" w:id="0">
    <w:p w14:paraId="6305EF4B" w14:textId="77777777" w:rsidR="00C32B2C" w:rsidRDefault="00C3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C32B2C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91078"/>
    <w:rsid w:val="00164B05"/>
    <w:rsid w:val="001D5B90"/>
    <w:rsid w:val="002663D3"/>
    <w:rsid w:val="00283C2C"/>
    <w:rsid w:val="002C30A4"/>
    <w:rsid w:val="002D40F5"/>
    <w:rsid w:val="0031134B"/>
    <w:rsid w:val="003537DA"/>
    <w:rsid w:val="003A53CF"/>
    <w:rsid w:val="003D188B"/>
    <w:rsid w:val="003F0DA5"/>
    <w:rsid w:val="004613C6"/>
    <w:rsid w:val="004C7860"/>
    <w:rsid w:val="0052504F"/>
    <w:rsid w:val="005601FE"/>
    <w:rsid w:val="005745C6"/>
    <w:rsid w:val="006274A8"/>
    <w:rsid w:val="006A4EA5"/>
    <w:rsid w:val="006D2282"/>
    <w:rsid w:val="007C2B4E"/>
    <w:rsid w:val="00874622"/>
    <w:rsid w:val="008C3461"/>
    <w:rsid w:val="008D01BF"/>
    <w:rsid w:val="009F3339"/>
    <w:rsid w:val="00A401C6"/>
    <w:rsid w:val="00A85406"/>
    <w:rsid w:val="00AD5F97"/>
    <w:rsid w:val="00B57AA8"/>
    <w:rsid w:val="00B81A2E"/>
    <w:rsid w:val="00C32B2C"/>
    <w:rsid w:val="00C66618"/>
    <w:rsid w:val="00CA086B"/>
    <w:rsid w:val="00D17123"/>
    <w:rsid w:val="00D46E18"/>
    <w:rsid w:val="00D734FB"/>
    <w:rsid w:val="00D92E87"/>
    <w:rsid w:val="00E03289"/>
    <w:rsid w:val="00E530BB"/>
    <w:rsid w:val="00F84991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xtension@unrn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:\Subsecretaria%20de%20Extension\Prog.%20Fortalecimiento%202022\anexo_2_rubros_financiables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2023-02-08T11:11:00Z</dcterms:created>
  <dcterms:modified xsi:type="dcterms:W3CDTF">2023-02-08T11:11:00Z</dcterms:modified>
</cp:coreProperties>
</file>