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E6A77" w14:textId="0D4F0691" w:rsidR="0031134B" w:rsidRPr="006A4EA5" w:rsidRDefault="0031134B" w:rsidP="00E0328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A4EA5">
        <w:rPr>
          <w:rFonts w:ascii="Arial" w:eastAsia="Arial" w:hAnsi="Arial" w:cs="Arial"/>
          <w:b/>
          <w:color w:val="000000"/>
          <w:sz w:val="24"/>
          <w:szCs w:val="24"/>
        </w:rPr>
        <w:t xml:space="preserve">ANEXO I - DISPOSICIÓN </w:t>
      </w:r>
      <w:r w:rsidR="001D5B90" w:rsidRPr="006A4EA5">
        <w:rPr>
          <w:rFonts w:ascii="Arial" w:eastAsia="Arial" w:hAnsi="Arial" w:cs="Arial"/>
          <w:b/>
          <w:color w:val="000000"/>
          <w:sz w:val="24"/>
          <w:szCs w:val="24"/>
        </w:rPr>
        <w:t xml:space="preserve">SDEYVE </w:t>
      </w:r>
      <w:r w:rsidRPr="006A4EA5">
        <w:rPr>
          <w:rFonts w:ascii="Arial" w:eastAsia="Arial" w:hAnsi="Arial" w:cs="Arial"/>
          <w:b/>
          <w:color w:val="000000"/>
          <w:sz w:val="24"/>
          <w:szCs w:val="24"/>
        </w:rPr>
        <w:t xml:space="preserve">Nº </w:t>
      </w:r>
      <w:r w:rsidR="001D5B90" w:rsidRPr="006A4EA5">
        <w:rPr>
          <w:rFonts w:ascii="Arial" w:eastAsia="Arial" w:hAnsi="Arial" w:cs="Arial"/>
          <w:b/>
          <w:color w:val="000000"/>
          <w:sz w:val="24"/>
          <w:szCs w:val="24"/>
        </w:rPr>
        <w:t>001/2023</w:t>
      </w:r>
    </w:p>
    <w:p w14:paraId="061725AF" w14:textId="77777777" w:rsidR="0031134B" w:rsidRPr="006A4EA5" w:rsidRDefault="0031134B" w:rsidP="001D5B90">
      <w:pPr>
        <w:spacing w:before="120" w:after="12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6A4EA5">
        <w:rPr>
          <w:rFonts w:ascii="Arial" w:eastAsia="Arial" w:hAnsi="Arial" w:cs="Arial"/>
          <w:b/>
          <w:color w:val="000000"/>
          <w:sz w:val="24"/>
          <w:szCs w:val="24"/>
        </w:rPr>
        <w:t xml:space="preserve">Convocatoria Interna y Abierta para la presentación de iniciativas de Extensión </w:t>
      </w:r>
    </w:p>
    <w:p w14:paraId="0F64CCFD" w14:textId="77777777" w:rsidR="009F3339" w:rsidRDefault="009F3339" w:rsidP="001D5B90">
      <w:pPr>
        <w:spacing w:before="120" w:after="120"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10D64DE" w14:textId="77777777" w:rsidR="0031134B" w:rsidRPr="006A4EA5" w:rsidRDefault="0031134B" w:rsidP="001D5B90">
      <w:pPr>
        <w:spacing w:before="120" w:after="120"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6A4EA5">
        <w:rPr>
          <w:rFonts w:ascii="Arial" w:eastAsia="Arial" w:hAnsi="Arial" w:cs="Arial"/>
          <w:b/>
          <w:sz w:val="24"/>
          <w:szCs w:val="24"/>
          <w:u w:val="single"/>
        </w:rPr>
        <w:t>Bases y Condiciones</w:t>
      </w:r>
    </w:p>
    <w:p w14:paraId="1668CC11" w14:textId="77777777" w:rsidR="001D5B90" w:rsidRPr="006A4EA5" w:rsidRDefault="001D5B90" w:rsidP="001D5B90">
      <w:pPr>
        <w:spacing w:before="120" w:after="120"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77DA221" w14:textId="77777777" w:rsidR="0031134B" w:rsidRPr="006A4EA5" w:rsidRDefault="0031134B" w:rsidP="001D5B90">
      <w:pPr>
        <w:pStyle w:val="Default"/>
        <w:spacing w:before="120" w:after="120" w:line="360" w:lineRule="auto"/>
        <w:jc w:val="both"/>
        <w:rPr>
          <w:b/>
          <w:bCs/>
          <w:color w:val="auto"/>
          <w:u w:val="single"/>
          <w:lang w:val="es-AR"/>
        </w:rPr>
      </w:pPr>
      <w:r w:rsidRPr="006A4EA5">
        <w:rPr>
          <w:b/>
          <w:bCs/>
          <w:color w:val="auto"/>
          <w:u w:val="single"/>
          <w:lang w:val="es-AR"/>
        </w:rPr>
        <w:t>Introducción: La extensión en la UNRN</w:t>
      </w:r>
    </w:p>
    <w:p w14:paraId="7861E0E3" w14:textId="77777777" w:rsidR="0031134B" w:rsidRPr="006A4EA5" w:rsidRDefault="0031134B" w:rsidP="001D5B90">
      <w:pPr>
        <w:pStyle w:val="Default"/>
        <w:spacing w:before="120" w:after="120" w:line="360" w:lineRule="auto"/>
        <w:jc w:val="both"/>
        <w:rPr>
          <w:color w:val="auto"/>
          <w:lang w:val="es-AR"/>
        </w:rPr>
      </w:pPr>
      <w:r w:rsidRPr="006A4EA5">
        <w:rPr>
          <w:color w:val="auto"/>
          <w:lang w:val="es-AR"/>
        </w:rPr>
        <w:t xml:space="preserve">La extensión constituye sin dudas un campo fértil que debe ser abordado en su dimensión pedagógica, política e institucional, advirtiendo su carácter dinamizante e instituyente. La UNRN ha concebido a la "Extensión Universitaria" en su forma más amplia, como parte de la estrategia y el "estilo de desarrollo" de la institución; promoviendo una real y activa participación con las fuerzas sociales y políticas del territorio, reconociendo que el conocimiento no es monopolio de la universidad y que los saberes de la sociedad constituyen aportes sustantivos para la solución de los problemas de desarrollo territorial, comprometiendo la participación de toda la organización universitaria en este emprendimiento. </w:t>
      </w:r>
    </w:p>
    <w:p w14:paraId="5DFD5B86" w14:textId="77777777" w:rsidR="0031134B" w:rsidRPr="006A4EA5" w:rsidRDefault="0031134B" w:rsidP="001D5B9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6A4EA5">
        <w:rPr>
          <w:rFonts w:ascii="Arial" w:hAnsi="Arial" w:cs="Arial"/>
          <w:sz w:val="24"/>
          <w:szCs w:val="24"/>
        </w:rPr>
        <w:t>En concordancia, el Plan de Desarrollo Institucional 2019-2025 de la UNRN se plantea como ejes estratégicos: a) el fortalecimiento y jerarquización de la extensión, b) la promoción de sinergias internas entre docencia, extensión, investigación y creación artística desde la integralidad de las prácticas universitarias, c) la construcción de una agenda común con el sector público y privado para el abordaje de las necesidades de la comunidad, y d) la consolidación de  áreas de acción e instrumentos de extensión universitaria.</w:t>
      </w:r>
    </w:p>
    <w:p w14:paraId="5BAD15A5" w14:textId="77777777" w:rsidR="0031134B" w:rsidRPr="006A4EA5" w:rsidRDefault="0031134B" w:rsidP="001D5B90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A4EA5">
        <w:rPr>
          <w:rFonts w:ascii="Arial" w:hAnsi="Arial" w:cs="Arial"/>
          <w:sz w:val="24"/>
          <w:szCs w:val="24"/>
        </w:rPr>
        <w:t xml:space="preserve">En este contexto, y en el marco del </w:t>
      </w:r>
      <w:r w:rsidRPr="006A4EA5">
        <w:rPr>
          <w:rFonts w:ascii="Arial" w:hAnsi="Arial" w:cs="Arial"/>
          <w:b/>
          <w:bCs/>
          <w:sz w:val="24"/>
          <w:szCs w:val="24"/>
        </w:rPr>
        <w:t xml:space="preserve">Programa de Fortalecimiento de la Extensión Universitaria 2022 </w:t>
      </w:r>
      <w:r w:rsidRPr="006A4EA5">
        <w:rPr>
          <w:rFonts w:ascii="Arial" w:hAnsi="Arial" w:cs="Arial"/>
          <w:sz w:val="24"/>
          <w:szCs w:val="24"/>
        </w:rPr>
        <w:t>de la</w:t>
      </w:r>
      <w:r w:rsidRPr="006A4EA5">
        <w:rPr>
          <w:rFonts w:ascii="Arial" w:hAnsi="Arial" w:cs="Arial"/>
          <w:b/>
          <w:bCs/>
          <w:sz w:val="24"/>
          <w:szCs w:val="24"/>
        </w:rPr>
        <w:t xml:space="preserve"> Secretaría de Políticas Universitarias, </w:t>
      </w:r>
      <w:r w:rsidRPr="006A4EA5">
        <w:rPr>
          <w:rFonts w:ascii="Arial" w:hAnsi="Arial" w:cs="Arial"/>
          <w:sz w:val="24"/>
          <w:szCs w:val="24"/>
        </w:rPr>
        <w:t>se abre el llamado a convocatorias internas a la comunidad UNRN a la presentación de propuestas de acciones y actividades de extensión.</w:t>
      </w:r>
    </w:p>
    <w:p w14:paraId="34111BD0" w14:textId="77777777" w:rsidR="009F3339" w:rsidRDefault="009F3339" w:rsidP="001D5B90">
      <w:pP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336D6992" w14:textId="77777777" w:rsidR="009F3339" w:rsidRDefault="009F3339">
      <w:pPr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br w:type="page"/>
      </w:r>
    </w:p>
    <w:p w14:paraId="1D39F87E" w14:textId="2918B1E5" w:rsidR="0031134B" w:rsidRPr="006A4EA5" w:rsidRDefault="0031134B" w:rsidP="001D5B90">
      <w:pPr>
        <w:spacing w:before="120" w:after="12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A4EA5">
        <w:rPr>
          <w:rFonts w:ascii="Arial" w:eastAsia="Arial" w:hAnsi="Arial" w:cs="Arial"/>
          <w:b/>
          <w:color w:val="000000"/>
          <w:sz w:val="24"/>
          <w:szCs w:val="24"/>
          <w:u w:val="single"/>
        </w:rPr>
        <w:lastRenderedPageBreak/>
        <w:t>Objetivos de la convocatoria</w:t>
      </w:r>
    </w:p>
    <w:p w14:paraId="53FEB03F" w14:textId="77777777" w:rsidR="0031134B" w:rsidRPr="006A4EA5" w:rsidRDefault="0031134B" w:rsidP="001D5B90">
      <w:pPr>
        <w:pStyle w:val="Default"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color w:val="auto"/>
          <w:lang w:val="es-AR"/>
        </w:rPr>
      </w:pPr>
      <w:r w:rsidRPr="006A4EA5">
        <w:rPr>
          <w:color w:val="auto"/>
          <w:lang w:val="es-AR"/>
        </w:rPr>
        <w:t xml:space="preserve">Promover la apropiación del enfoque social de la Extensión y el compromiso social universitario por parte de la comunidad UNRN (docentes, nodocentes, investigadores, estudiantes, graduados) en todas las sedes.  </w:t>
      </w:r>
    </w:p>
    <w:p w14:paraId="6CBC3CBF" w14:textId="77777777" w:rsidR="0031134B" w:rsidRPr="006A4EA5" w:rsidRDefault="0031134B" w:rsidP="001D5B90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A4EA5">
        <w:rPr>
          <w:rFonts w:ascii="Arial" w:eastAsia="Arial" w:hAnsi="Arial" w:cs="Arial"/>
          <w:color w:val="000000"/>
          <w:sz w:val="24"/>
          <w:szCs w:val="24"/>
        </w:rPr>
        <w:t>Ofrecer un espacio de integración social y de reconocimiento institucional y acompañamiento a las propuestas de educación para el trabajo e iniciativas de articulación y diálogo interdisciplinario y multiactoral que atienda y dé respuesta a las necesidades y demandas que surgen de la comunidad.</w:t>
      </w:r>
    </w:p>
    <w:p w14:paraId="0C735FC1" w14:textId="77777777" w:rsidR="0031134B" w:rsidRPr="006A4EA5" w:rsidRDefault="0031134B" w:rsidP="001D5B90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A4EA5">
        <w:rPr>
          <w:rFonts w:ascii="Arial" w:hAnsi="Arial" w:cs="Arial"/>
          <w:sz w:val="24"/>
          <w:szCs w:val="24"/>
        </w:rPr>
        <w:t>Ofrecer el acompañamiento institucional y económico a las acciones desarrolladas en el marco de proyectos de trabajo social desarrollados por estudiantes de la comunidad UNRN y a las prácticas en el aula tendientes a la integralidad de funciones.</w:t>
      </w:r>
    </w:p>
    <w:p w14:paraId="412D2609" w14:textId="77777777" w:rsidR="0031134B" w:rsidRPr="006A4EA5" w:rsidRDefault="0031134B" w:rsidP="001D5B90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A4EA5">
        <w:rPr>
          <w:rFonts w:ascii="Arial" w:eastAsia="Arial" w:hAnsi="Arial" w:cs="Arial"/>
          <w:color w:val="000000"/>
          <w:sz w:val="24"/>
          <w:szCs w:val="24"/>
        </w:rPr>
        <w:t>Acompañar la realización de acciones, eventos y/o talleres artísticos y culturales  que contribuyan a desarrollar y fortalecer las diversas formas en las que se manifiesta la cultura local y regional.</w:t>
      </w:r>
    </w:p>
    <w:p w14:paraId="7C190693" w14:textId="77777777" w:rsidR="0031134B" w:rsidRPr="006A4EA5" w:rsidRDefault="0031134B" w:rsidP="001D5B90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A4EA5">
        <w:rPr>
          <w:rFonts w:ascii="Arial" w:eastAsia="Arial" w:hAnsi="Arial" w:cs="Arial"/>
          <w:color w:val="000000"/>
          <w:sz w:val="24"/>
          <w:szCs w:val="24"/>
        </w:rPr>
        <w:t xml:space="preserve">Fomentar la participación activa de los estudiantes, docentes, graduados y </w:t>
      </w:r>
      <w:r w:rsidRPr="006A4EA5">
        <w:rPr>
          <w:rFonts w:ascii="Arial" w:eastAsia="Arial" w:hAnsi="Arial" w:cs="Arial"/>
          <w:color w:val="111111"/>
          <w:sz w:val="24"/>
          <w:szCs w:val="24"/>
        </w:rPr>
        <w:t>Nodocentes en actividades institucionales de extensión y vinculación con el territorio.</w:t>
      </w:r>
    </w:p>
    <w:p w14:paraId="671E3767" w14:textId="77777777" w:rsidR="0031134B" w:rsidRPr="006A4EA5" w:rsidRDefault="0031134B" w:rsidP="001D5B90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Arial" w:eastAsia="Arial" w:hAnsi="Arial" w:cs="Arial"/>
          <w:color w:val="111111"/>
          <w:sz w:val="24"/>
          <w:szCs w:val="24"/>
        </w:rPr>
      </w:pPr>
      <w:r w:rsidRPr="006A4EA5">
        <w:rPr>
          <w:rFonts w:ascii="Arial" w:eastAsia="Arial" w:hAnsi="Arial" w:cs="Arial"/>
          <w:color w:val="111111"/>
          <w:sz w:val="24"/>
          <w:szCs w:val="24"/>
        </w:rPr>
        <w:t>Profundizar los vínculos y la cogestión de propuestas entre la Universidad y las organizaciones públicas y sociales que trabajan en el territorio de Río Negro.</w:t>
      </w:r>
    </w:p>
    <w:p w14:paraId="0D4049F4" w14:textId="77777777" w:rsidR="0031134B" w:rsidRPr="006A4EA5" w:rsidRDefault="0031134B" w:rsidP="001D5B90">
      <w:pPr>
        <w:pStyle w:val="Prrafodelista"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6A4EA5">
        <w:rPr>
          <w:rFonts w:ascii="Arial" w:hAnsi="Arial" w:cs="Arial"/>
          <w:sz w:val="24"/>
          <w:szCs w:val="24"/>
        </w:rPr>
        <w:t xml:space="preserve">Instalar a la UNRN como institución activa y relevante en redes académicas vinculadas a la Extensión universitaria y la participación comunitaria. </w:t>
      </w:r>
    </w:p>
    <w:p w14:paraId="2F265CA0" w14:textId="77777777" w:rsidR="009F3339" w:rsidRDefault="009F3339" w:rsidP="001D5B90">
      <w:pP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bookmarkStart w:id="1" w:name="_2et92p0"/>
      <w:bookmarkEnd w:id="1"/>
    </w:p>
    <w:p w14:paraId="23D44E63" w14:textId="77777777" w:rsidR="0031134B" w:rsidRPr="006A4EA5" w:rsidRDefault="0031134B" w:rsidP="001D5B90">
      <w:pP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6A4EA5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Convocatoria</w:t>
      </w:r>
    </w:p>
    <w:p w14:paraId="22CFF060" w14:textId="77777777" w:rsidR="0031134B" w:rsidRPr="006A4EA5" w:rsidRDefault="0031134B" w:rsidP="001D5B90">
      <w:pPr>
        <w:spacing w:before="120"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A4EA5">
        <w:rPr>
          <w:rFonts w:ascii="Arial" w:eastAsia="Arial" w:hAnsi="Arial" w:cs="Arial"/>
          <w:bCs/>
          <w:color w:val="000000"/>
          <w:sz w:val="24"/>
          <w:szCs w:val="24"/>
        </w:rPr>
        <w:t>Se trata de</w:t>
      </w:r>
      <w:r w:rsidRPr="006A4EA5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6A4EA5">
        <w:rPr>
          <w:rFonts w:ascii="Arial" w:eastAsia="Arial" w:hAnsi="Arial" w:cs="Arial"/>
          <w:color w:val="000000"/>
          <w:sz w:val="24"/>
          <w:szCs w:val="24"/>
        </w:rPr>
        <w:t>una convocatoria interna dirigida a estudiantes, docentes, nodocentes y graduados de la UNRN destinada a la presentación de propuestas de iniciativas de extensión de corta ejecución a desarrollarse entre Marzo y Septiembre de 2023. Las mismas deben enmarcarse en algunas de las siguientes líneas de acción:</w:t>
      </w:r>
    </w:p>
    <w:p w14:paraId="348381A3" w14:textId="77777777" w:rsidR="009F3339" w:rsidRDefault="009F3339" w:rsidP="001D5B90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47DE42" w14:textId="77777777" w:rsidR="009F3339" w:rsidRDefault="009F3339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1E45667F" w14:textId="0777D58B" w:rsidR="0031134B" w:rsidRPr="006A4EA5" w:rsidRDefault="0031134B" w:rsidP="001D5B90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A4EA5">
        <w:rPr>
          <w:rFonts w:ascii="Arial" w:hAnsi="Arial" w:cs="Arial"/>
          <w:b/>
          <w:bCs/>
          <w:sz w:val="24"/>
          <w:szCs w:val="24"/>
          <w:u w:val="single"/>
        </w:rPr>
        <w:lastRenderedPageBreak/>
        <w:t>Líneas de acción prioritarias</w:t>
      </w:r>
    </w:p>
    <w:p w14:paraId="4A4EAEA2" w14:textId="0E503E33" w:rsidR="0031134B" w:rsidRPr="009F3339" w:rsidRDefault="0031134B" w:rsidP="009F3339">
      <w:pPr>
        <w:pStyle w:val="Prrafodelista"/>
        <w:numPr>
          <w:ilvl w:val="0"/>
          <w:numId w:val="3"/>
        </w:numPr>
        <w:tabs>
          <w:tab w:val="left" w:pos="0"/>
          <w:tab w:val="left" w:pos="426"/>
        </w:tabs>
        <w:spacing w:before="120" w:after="120" w:line="360" w:lineRule="auto"/>
        <w:ind w:left="0" w:firstLine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9F3339">
        <w:rPr>
          <w:rFonts w:ascii="Arial" w:hAnsi="Arial" w:cs="Arial"/>
          <w:b/>
          <w:bCs/>
          <w:sz w:val="24"/>
          <w:szCs w:val="24"/>
        </w:rPr>
        <w:t>Otras economías</w:t>
      </w:r>
    </w:p>
    <w:p w14:paraId="478E5258" w14:textId="77777777" w:rsidR="0031134B" w:rsidRPr="006A4EA5" w:rsidRDefault="0031134B" w:rsidP="009F3339">
      <w:pPr>
        <w:pStyle w:val="Prrafodelista"/>
        <w:tabs>
          <w:tab w:val="left" w:pos="0"/>
          <w:tab w:val="left" w:pos="426"/>
        </w:tabs>
        <w:spacing w:before="120" w:after="12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6A4EA5">
        <w:rPr>
          <w:rFonts w:ascii="Arial" w:hAnsi="Arial" w:cs="Arial"/>
          <w:sz w:val="24"/>
          <w:szCs w:val="24"/>
        </w:rPr>
        <w:t xml:space="preserve">Acompañamiento, asistencia técnica y fortalecimiento de experiencias asociativas del diverso mundo de la Economía Social, Popular y Solidaria; organización social comunitaria y economía del cuidado; fortalecimiento institucional y mejoramiento de procesos de producción, comercialización y distribución regional y agricultura familiar; soberanía alimentaria; desarrollo de tecnologías sociales; entre otras.  </w:t>
      </w:r>
    </w:p>
    <w:p w14:paraId="39F9DD79" w14:textId="77777777" w:rsidR="0031134B" w:rsidRPr="009F3339" w:rsidRDefault="0031134B" w:rsidP="009F3339">
      <w:pPr>
        <w:pStyle w:val="Prrafodelista"/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0" w:firstLine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9F3339">
        <w:rPr>
          <w:rFonts w:ascii="Arial" w:hAnsi="Arial" w:cs="Arial"/>
          <w:b/>
          <w:bCs/>
          <w:sz w:val="24"/>
          <w:szCs w:val="24"/>
        </w:rPr>
        <w:t>Universidad popular</w:t>
      </w:r>
    </w:p>
    <w:p w14:paraId="41B24D30" w14:textId="77777777" w:rsidR="0031134B" w:rsidRPr="006A4EA5" w:rsidRDefault="0031134B" w:rsidP="009F3339">
      <w:pPr>
        <w:pStyle w:val="Prrafodelista"/>
        <w:tabs>
          <w:tab w:val="left" w:pos="426"/>
        </w:tabs>
        <w:spacing w:before="120" w:after="12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6A4EA5">
        <w:rPr>
          <w:rFonts w:ascii="Arial" w:hAnsi="Arial" w:cs="Arial"/>
          <w:sz w:val="24"/>
          <w:szCs w:val="24"/>
        </w:rPr>
        <w:t>Desarrollo o fortalecimiento de capacidades individuales y colectivas en la comunidad a partir de capacitaciones en oficios, cursos diversos de educación para el trabajo y para el desarrollo productivo de la región, capacitaciones en formación ciudadana y política y otras estrategias de educación popular.</w:t>
      </w:r>
    </w:p>
    <w:p w14:paraId="7048094B" w14:textId="77777777" w:rsidR="0031134B" w:rsidRPr="006A4EA5" w:rsidRDefault="0031134B" w:rsidP="009F3339">
      <w:pPr>
        <w:pStyle w:val="Prrafodelista"/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0" w:firstLine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6A4EA5">
        <w:rPr>
          <w:rFonts w:ascii="Arial" w:hAnsi="Arial" w:cs="Arial"/>
          <w:b/>
          <w:bCs/>
          <w:sz w:val="24"/>
          <w:szCs w:val="24"/>
        </w:rPr>
        <w:t>Curricularización de la extensión e integralidad de funciones</w:t>
      </w:r>
    </w:p>
    <w:p w14:paraId="169980CE" w14:textId="77777777" w:rsidR="0031134B" w:rsidRPr="006A4EA5" w:rsidRDefault="0031134B" w:rsidP="009F3339">
      <w:pPr>
        <w:pStyle w:val="Prrafodelista"/>
        <w:tabs>
          <w:tab w:val="left" w:pos="426"/>
        </w:tabs>
        <w:spacing w:before="120" w:after="12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6A4EA5">
        <w:rPr>
          <w:rFonts w:ascii="Arial" w:hAnsi="Arial" w:cs="Arial"/>
          <w:sz w:val="24"/>
          <w:szCs w:val="24"/>
        </w:rPr>
        <w:t>Estrategias de visibilización, formación y fortalecimiento de experiencias existentes en la universidad que transitan estrategias de curricularización de la extensión y procesos de desarrollo hacia la integralidad de las funciones de extensión, docencia e investigación.</w:t>
      </w:r>
    </w:p>
    <w:p w14:paraId="19EF0A5F" w14:textId="77777777" w:rsidR="0031134B" w:rsidRPr="009F3339" w:rsidRDefault="0031134B" w:rsidP="009F3339">
      <w:pPr>
        <w:pStyle w:val="Prrafodelista"/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0" w:firstLine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9F3339">
        <w:rPr>
          <w:rFonts w:ascii="Arial" w:hAnsi="Arial" w:cs="Arial"/>
          <w:b/>
          <w:bCs/>
          <w:sz w:val="24"/>
          <w:szCs w:val="24"/>
        </w:rPr>
        <w:t>Arte, Cultura y Derechos Humanos</w:t>
      </w:r>
    </w:p>
    <w:p w14:paraId="026DA672" w14:textId="77777777" w:rsidR="0031134B" w:rsidRPr="006A4EA5" w:rsidRDefault="0031134B" w:rsidP="009F3339">
      <w:pPr>
        <w:pStyle w:val="Prrafodelista"/>
        <w:tabs>
          <w:tab w:val="left" w:pos="426"/>
        </w:tabs>
        <w:spacing w:before="120" w:after="12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6A4EA5">
        <w:rPr>
          <w:rFonts w:ascii="Arial" w:hAnsi="Arial" w:cs="Arial"/>
          <w:sz w:val="24"/>
          <w:szCs w:val="24"/>
        </w:rPr>
        <w:t xml:space="preserve">Organización y desarrollo de acciones diversas tendientes a promover el debate, aprendizaje y reflexión sobre los derechos humanos; desarrollo y presentación de expresiones artístico-culturales que tengan como eje temático la memoria, verdad, justicia, ampliación y consolidación de derechos, perspectiva de género, respeto a la diversidad, erradicación de la violencia y discursos de odio, entre otros. </w:t>
      </w:r>
    </w:p>
    <w:p w14:paraId="43972547" w14:textId="77777777" w:rsidR="0031134B" w:rsidRPr="009F3339" w:rsidRDefault="0031134B" w:rsidP="009F3339">
      <w:pPr>
        <w:pStyle w:val="Prrafodelista"/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0" w:firstLine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9F3339">
        <w:rPr>
          <w:rFonts w:ascii="Arial" w:hAnsi="Arial" w:cs="Arial"/>
          <w:b/>
          <w:bCs/>
          <w:sz w:val="24"/>
          <w:szCs w:val="24"/>
        </w:rPr>
        <w:t>Educación, Salud y Ambiente</w:t>
      </w:r>
    </w:p>
    <w:p w14:paraId="187DE1AD" w14:textId="77777777" w:rsidR="0031134B" w:rsidRPr="006A4EA5" w:rsidRDefault="0031134B" w:rsidP="001D5B90">
      <w:pPr>
        <w:pStyle w:val="Prrafodelista"/>
        <w:spacing w:before="120" w:after="12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6A4EA5">
        <w:rPr>
          <w:rFonts w:ascii="Arial" w:hAnsi="Arial" w:cs="Arial"/>
          <w:sz w:val="24"/>
          <w:szCs w:val="24"/>
        </w:rPr>
        <w:t>Iniciativas con impacto social tendientes a abordar problemáticas ambientales, mejorar el acceso a la educación y a la salud, preferentemente destinadas a públicos vulnerados; acciones orientadas a generar conciencia por el cuidado de la salud, el bienestar del ser humano y la conservación del ambiente.</w:t>
      </w:r>
    </w:p>
    <w:p w14:paraId="44A351F3" w14:textId="77777777" w:rsidR="009F3339" w:rsidRDefault="009F3339" w:rsidP="001D5B90">
      <w:pP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3C9D6D48" w14:textId="4D696625" w:rsidR="0031134B" w:rsidRPr="006A4EA5" w:rsidRDefault="0031134B" w:rsidP="001D5B90">
      <w:pPr>
        <w:spacing w:before="120"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 w:rsidRPr="006A4EA5">
        <w:rPr>
          <w:rFonts w:ascii="Arial" w:eastAsia="Arial" w:hAnsi="Arial" w:cs="Arial"/>
          <w:b/>
          <w:color w:val="000000"/>
          <w:sz w:val="24"/>
          <w:szCs w:val="24"/>
          <w:u w:val="single"/>
        </w:rPr>
        <w:lastRenderedPageBreak/>
        <w:t>Financiamiento y tipos de iniciativas de extensión</w:t>
      </w:r>
      <w:r w:rsidR="001D5B90" w:rsidRPr="006A4EA5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:</w:t>
      </w:r>
      <w:r w:rsidRPr="006A4EA5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</w:p>
    <w:p w14:paraId="7E763E1E" w14:textId="77777777" w:rsidR="0031134B" w:rsidRPr="006A4EA5" w:rsidRDefault="0031134B" w:rsidP="001D5B90">
      <w:pPr>
        <w:spacing w:before="120"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A4EA5">
        <w:rPr>
          <w:rFonts w:ascii="Arial" w:eastAsia="Arial" w:hAnsi="Arial" w:cs="Arial"/>
          <w:color w:val="000000"/>
          <w:sz w:val="24"/>
          <w:szCs w:val="24"/>
        </w:rPr>
        <w:t xml:space="preserve">El monto total asignado a la convocatoria es de $2.000.000. Las propuestas a presentarse se categorizan en los siguientes tipos o instrumentos de acción territorial y pueden solicitar financiamiento hasta los topes estipulados: </w:t>
      </w:r>
    </w:p>
    <w:p w14:paraId="1939F25F" w14:textId="77777777" w:rsidR="0031134B" w:rsidRPr="009F3339" w:rsidRDefault="0031134B" w:rsidP="001D5B90">
      <w:pPr>
        <w:tabs>
          <w:tab w:val="left" w:pos="284"/>
          <w:tab w:val="left" w:pos="1276"/>
        </w:tabs>
        <w:spacing w:before="120"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F3339">
        <w:rPr>
          <w:rFonts w:ascii="Arial" w:eastAsia="Arial" w:hAnsi="Arial" w:cs="Arial"/>
          <w:b/>
          <w:bCs/>
          <w:color w:val="000000"/>
          <w:sz w:val="24"/>
          <w:szCs w:val="24"/>
        </w:rPr>
        <w:t>1) Acciones de extensión:</w:t>
      </w:r>
      <w:r w:rsidRPr="009F3339">
        <w:rPr>
          <w:rFonts w:ascii="Arial" w:eastAsia="Arial" w:hAnsi="Arial" w:cs="Arial"/>
          <w:color w:val="000000"/>
          <w:sz w:val="24"/>
          <w:szCs w:val="24"/>
        </w:rPr>
        <w:t xml:space="preserve"> Se diseñan como líneas específicas de trabajo con la comunidad. Tienen objetivos a corto plazo y de corta duración (no más de 3 meses de duración).</w:t>
      </w:r>
      <w:r w:rsidRPr="009F3339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 </w:t>
      </w:r>
      <w:r w:rsidRPr="009F3339">
        <w:rPr>
          <w:rFonts w:ascii="Arial" w:eastAsia="Arial" w:hAnsi="Arial" w:cs="Arial"/>
          <w:color w:val="000000"/>
          <w:sz w:val="24"/>
          <w:szCs w:val="24"/>
        </w:rPr>
        <w:t xml:space="preserve">Financiamiento máximo a solicitar $60.000. Las propuestas deben presentarse según formulario en Anexo I. </w:t>
      </w:r>
    </w:p>
    <w:p w14:paraId="5F13E886" w14:textId="77777777" w:rsidR="0031134B" w:rsidRPr="009F3339" w:rsidRDefault="0031134B" w:rsidP="001D5B90">
      <w:pPr>
        <w:pStyle w:val="Prrafodelista"/>
        <w:tabs>
          <w:tab w:val="left" w:pos="284"/>
          <w:tab w:val="left" w:pos="1276"/>
        </w:tabs>
        <w:spacing w:before="120" w:after="12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6A4EA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2) </w:t>
      </w:r>
      <w:r w:rsidRPr="009F3339">
        <w:rPr>
          <w:rFonts w:ascii="Arial" w:eastAsia="Arial" w:hAnsi="Arial" w:cs="Arial"/>
          <w:b/>
          <w:bCs/>
          <w:color w:val="000000"/>
          <w:sz w:val="24"/>
          <w:szCs w:val="24"/>
        </w:rPr>
        <w:t>Talleres artísticos y culturales:</w:t>
      </w:r>
      <w:r w:rsidRPr="009F3339">
        <w:rPr>
          <w:rFonts w:ascii="Arial" w:eastAsia="Arial" w:hAnsi="Arial" w:cs="Arial"/>
          <w:color w:val="000000"/>
          <w:sz w:val="24"/>
          <w:szCs w:val="24"/>
        </w:rPr>
        <w:t xml:space="preserve"> De 6 encuentros, dirigidos por estudiantes regulares. Financiamiento máximo a solicitar $40.000 (100% en modalidad Asignación Estímulo según Resol. N˚1139/2022). Las propuestas deben presentarse según formulario en Anexo II.</w:t>
      </w:r>
    </w:p>
    <w:p w14:paraId="19CC377F" w14:textId="77777777" w:rsidR="0031134B" w:rsidRPr="009F3339" w:rsidRDefault="0031134B" w:rsidP="001D5B90">
      <w:pPr>
        <w:tabs>
          <w:tab w:val="left" w:pos="284"/>
          <w:tab w:val="left" w:pos="1276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F3339">
        <w:rPr>
          <w:rFonts w:ascii="Arial" w:eastAsia="Arial" w:hAnsi="Arial" w:cs="Arial"/>
          <w:b/>
          <w:bCs/>
          <w:color w:val="000000"/>
          <w:sz w:val="24"/>
          <w:szCs w:val="24"/>
        </w:rPr>
        <w:t>3) Acciones culturales barriales:</w:t>
      </w:r>
      <w:r w:rsidRPr="009F3339">
        <w:rPr>
          <w:rFonts w:ascii="Arial" w:eastAsia="Arial" w:hAnsi="Arial" w:cs="Arial"/>
          <w:color w:val="000000"/>
          <w:sz w:val="24"/>
          <w:szCs w:val="24"/>
        </w:rPr>
        <w:t xml:space="preserve"> Actividades de promoción de propuestas artísticas y culturales en articulación con organizaciones territoriales coordinadas por estudiantes regulares, docentes y/o nodocentes con capacidades y trayectoria en disciplinas artísticas, trabajo barrial y gestión cultural. Financiamiento máximo a solicitar $60.000. Las propuestas deben presentarse según formulario en Anexo III.</w:t>
      </w:r>
    </w:p>
    <w:p w14:paraId="3B39ECE1" w14:textId="7D0328EF" w:rsidR="0031134B" w:rsidRPr="009F3339" w:rsidRDefault="0031134B" w:rsidP="001D5B90">
      <w:pPr>
        <w:pStyle w:val="Prrafodelista"/>
        <w:tabs>
          <w:tab w:val="left" w:pos="284"/>
          <w:tab w:val="left" w:pos="1276"/>
        </w:tabs>
        <w:spacing w:before="120" w:after="120" w:line="360" w:lineRule="auto"/>
        <w:ind w:left="0"/>
        <w:contextualSpacing w:val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F3339">
        <w:rPr>
          <w:rFonts w:ascii="Arial" w:eastAsia="Arial" w:hAnsi="Arial" w:cs="Arial"/>
          <w:b/>
          <w:bCs/>
          <w:color w:val="000000"/>
          <w:sz w:val="24"/>
          <w:szCs w:val="24"/>
        </w:rPr>
        <w:t>4) Actividades de educación continua:</w:t>
      </w:r>
      <w:r w:rsidRPr="009F3339">
        <w:rPr>
          <w:rFonts w:ascii="Arial" w:eastAsia="Arial" w:hAnsi="Arial" w:cs="Arial"/>
          <w:color w:val="000000"/>
          <w:sz w:val="24"/>
          <w:szCs w:val="24"/>
        </w:rPr>
        <w:t xml:space="preserve"> Cursos, capacitaciones, talleres y otras actividades de </w:t>
      </w:r>
      <w:r w:rsidR="00283C2C" w:rsidRPr="009F3339">
        <w:rPr>
          <w:rFonts w:ascii="Arial" w:eastAsia="Arial" w:hAnsi="Arial" w:cs="Arial"/>
          <w:color w:val="000000"/>
          <w:sz w:val="24"/>
          <w:szCs w:val="24"/>
        </w:rPr>
        <w:t>educación abierta y gratuita</w:t>
      </w:r>
      <w:r w:rsidRPr="009F3339">
        <w:rPr>
          <w:rFonts w:ascii="Arial" w:eastAsia="Arial" w:hAnsi="Arial" w:cs="Arial"/>
          <w:color w:val="000000"/>
          <w:sz w:val="24"/>
          <w:szCs w:val="24"/>
        </w:rPr>
        <w:t xml:space="preserve"> a la comunidad. Financiamiento máximo a solicitar $50.000; Las propuestas deben presentarse según formulario en Anexo IV.</w:t>
      </w:r>
    </w:p>
    <w:p w14:paraId="384146D6" w14:textId="77777777" w:rsidR="0031134B" w:rsidRPr="006A4EA5" w:rsidRDefault="0031134B" w:rsidP="001D5B90">
      <w:pPr>
        <w:pStyle w:val="Prrafodelista"/>
        <w:tabs>
          <w:tab w:val="left" w:pos="284"/>
          <w:tab w:val="left" w:pos="1276"/>
        </w:tabs>
        <w:spacing w:before="120" w:after="120" w:line="360" w:lineRule="auto"/>
        <w:ind w:left="0"/>
        <w:contextualSpacing w:val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F3339">
        <w:rPr>
          <w:rFonts w:ascii="Arial" w:eastAsia="Arial" w:hAnsi="Arial" w:cs="Arial"/>
          <w:b/>
          <w:bCs/>
          <w:color w:val="000000"/>
          <w:sz w:val="24"/>
          <w:szCs w:val="24"/>
        </w:rPr>
        <w:t>5) Programas de trabajo social:</w:t>
      </w:r>
      <w:r w:rsidRPr="009F3339">
        <w:rPr>
          <w:rFonts w:ascii="Arial" w:eastAsia="Arial" w:hAnsi="Arial" w:cs="Arial"/>
          <w:color w:val="000000"/>
          <w:sz w:val="24"/>
          <w:szCs w:val="24"/>
        </w:rPr>
        <w:t xml:space="preserve"> Proyectos aprobados a ejecutarse durante 2023. Se debe presentar proyecto aprobado</w:t>
      </w:r>
      <w:r w:rsidRPr="006A4EA5">
        <w:rPr>
          <w:rFonts w:ascii="Arial" w:eastAsia="Arial" w:hAnsi="Arial" w:cs="Arial"/>
          <w:color w:val="000000"/>
          <w:sz w:val="24"/>
          <w:szCs w:val="24"/>
        </w:rPr>
        <w:t xml:space="preserve"> y formulario en Anexo V. Financiamiento máximo a solicitar $50.000.</w:t>
      </w:r>
    </w:p>
    <w:p w14:paraId="488BC14D" w14:textId="77777777" w:rsidR="009F3339" w:rsidRDefault="009F3339" w:rsidP="001D5B90">
      <w:pP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380B7FEB" w14:textId="590865B0" w:rsidR="0031134B" w:rsidRPr="006A4EA5" w:rsidRDefault="0031134B" w:rsidP="001D5B90">
      <w:pP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6A4EA5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Período de inscripción de la convocatoria</w:t>
      </w:r>
      <w:r w:rsidR="009F3339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:</w:t>
      </w:r>
      <w:r w:rsidRPr="006A4EA5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</w:t>
      </w:r>
    </w:p>
    <w:p w14:paraId="2C372D3E" w14:textId="77777777" w:rsidR="0031134B" w:rsidRPr="006A4EA5" w:rsidRDefault="0031134B" w:rsidP="001D5B90">
      <w:pPr>
        <w:spacing w:before="120"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A4EA5">
        <w:rPr>
          <w:rFonts w:ascii="Arial" w:eastAsia="Arial" w:hAnsi="Arial" w:cs="Arial"/>
          <w:sz w:val="24"/>
          <w:szCs w:val="24"/>
        </w:rPr>
        <w:t>Las propuestas deberán ser presentadas entre el 13 de Febrero y el 19 de Marzo de 2023. El período de evaluación será entre el 20 de marzo y el 3 de Abril de 2023. La modalidad es por ventanilla abierta en el caso de Programas de Trabajo Social. Las propuestas seleccionadas obtendrán el apoyo institucional y administrativo para su desarrollo. Al finalizar el desarrollo de la propuesta, el/la responsable deberá entregar en un plazo de 30 días un informe cualitativo de lo actuado y las rendiciones de gastos correspondientes.</w:t>
      </w:r>
    </w:p>
    <w:p w14:paraId="6DBC2703" w14:textId="77777777" w:rsidR="009F3339" w:rsidRDefault="009F3339" w:rsidP="001D5B90">
      <w:pP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662F2C5D" w14:textId="77777777" w:rsidR="009F3339" w:rsidRDefault="0031134B" w:rsidP="001D5B90">
      <w:pPr>
        <w:spacing w:before="120"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F3339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Evaluación</w:t>
      </w:r>
      <w:r w:rsidRPr="006A4EA5">
        <w:rPr>
          <w:rFonts w:ascii="Arial" w:eastAsia="Arial" w:hAnsi="Arial" w:cs="Arial"/>
          <w:b/>
          <w:color w:val="000000"/>
          <w:sz w:val="24"/>
          <w:szCs w:val="24"/>
        </w:rPr>
        <w:t>:</w:t>
      </w:r>
      <w:r w:rsidRPr="006A4EA5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16DF171" w14:textId="3AC5D908" w:rsidR="0031134B" w:rsidRPr="006A4EA5" w:rsidRDefault="0031134B" w:rsidP="001D5B9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6A4EA5">
        <w:rPr>
          <w:rFonts w:ascii="Arial" w:eastAsia="Arial" w:hAnsi="Arial" w:cs="Arial"/>
          <w:color w:val="000000"/>
          <w:sz w:val="24"/>
          <w:szCs w:val="24"/>
        </w:rPr>
        <w:t xml:space="preserve">Las propuestas serán evaluadas por los equipos de gestión de las  </w:t>
      </w:r>
      <w:r w:rsidRPr="006A4EA5">
        <w:rPr>
          <w:rFonts w:ascii="Arial" w:eastAsia="Arial" w:hAnsi="Arial" w:cs="Arial"/>
          <w:sz w:val="24"/>
          <w:szCs w:val="24"/>
        </w:rPr>
        <w:t>Subsecretarías</w:t>
      </w:r>
      <w:r w:rsidRPr="006A4EA5">
        <w:rPr>
          <w:rFonts w:ascii="Arial" w:eastAsia="Arial" w:hAnsi="Arial" w:cs="Arial"/>
          <w:color w:val="000000"/>
          <w:sz w:val="24"/>
          <w:szCs w:val="24"/>
        </w:rPr>
        <w:t xml:space="preserve"> de Extensión de la Universidad y de Sedes, quienes definirán la política de financiamiento a través de una ordenación por priorización de propuestas. </w:t>
      </w:r>
      <w:r w:rsidRPr="006A4EA5">
        <w:rPr>
          <w:rFonts w:ascii="Arial" w:hAnsi="Arial" w:cs="Arial"/>
          <w:sz w:val="24"/>
          <w:szCs w:val="24"/>
        </w:rPr>
        <w:t>Se valorará con especial atención la adecuación del monto solicitado a la necesidad de la propuesta, a los requisitos de presentación, a las líneas temáticas previstas y a los criterios de evaluación.</w:t>
      </w:r>
    </w:p>
    <w:p w14:paraId="66318377" w14:textId="77777777" w:rsidR="009F3339" w:rsidRDefault="009F3339" w:rsidP="001D5B90">
      <w:pP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31D44DCC" w14:textId="77777777" w:rsidR="0031134B" w:rsidRPr="006A4EA5" w:rsidRDefault="0031134B" w:rsidP="001D5B90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A4EA5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Criterios de evaluación:</w:t>
      </w:r>
    </w:p>
    <w:p w14:paraId="38B96B78" w14:textId="77777777" w:rsidR="0031134B" w:rsidRPr="006A4EA5" w:rsidRDefault="0031134B" w:rsidP="001D5B90">
      <w:pPr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4EA5">
        <w:rPr>
          <w:rFonts w:ascii="Arial" w:eastAsia="Arial" w:hAnsi="Arial" w:cs="Arial"/>
          <w:color w:val="000000"/>
          <w:sz w:val="24"/>
          <w:szCs w:val="24"/>
        </w:rPr>
        <w:t>Relevancia y pertinencia: público destinatario y adecuación a las líneas de acción prioritarias de esta convocatoria.</w:t>
      </w:r>
    </w:p>
    <w:p w14:paraId="3C5CA4B3" w14:textId="77777777" w:rsidR="0031134B" w:rsidRPr="006A4EA5" w:rsidRDefault="0031134B" w:rsidP="001D5B90">
      <w:pPr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4EA5">
        <w:rPr>
          <w:rFonts w:ascii="Arial" w:eastAsia="Arial" w:hAnsi="Arial" w:cs="Arial"/>
          <w:color w:val="000000"/>
          <w:sz w:val="24"/>
          <w:szCs w:val="24"/>
        </w:rPr>
        <w:t>Consistencia y coherencia en la formulación de la propuesta.</w:t>
      </w:r>
    </w:p>
    <w:p w14:paraId="49273327" w14:textId="77777777" w:rsidR="0031134B" w:rsidRPr="006A4EA5" w:rsidRDefault="0031134B" w:rsidP="001D5B90">
      <w:pPr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4EA5">
        <w:rPr>
          <w:rFonts w:ascii="Arial" w:eastAsia="Arial" w:hAnsi="Arial" w:cs="Arial"/>
          <w:color w:val="000000"/>
          <w:sz w:val="24"/>
          <w:szCs w:val="24"/>
        </w:rPr>
        <w:t>Congruencia entre las actividades a desarrollar y el presupuesto solicitado</w:t>
      </w:r>
    </w:p>
    <w:p w14:paraId="7FE24DFC" w14:textId="77777777" w:rsidR="0031134B" w:rsidRPr="006A4EA5" w:rsidRDefault="0031134B" w:rsidP="001D5B90">
      <w:pPr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4EA5">
        <w:rPr>
          <w:rFonts w:ascii="Arial" w:eastAsia="Arial" w:hAnsi="Arial" w:cs="Arial"/>
          <w:color w:val="000000"/>
          <w:sz w:val="24"/>
          <w:szCs w:val="24"/>
        </w:rPr>
        <w:t>Equilibrio presupuestario: consideración de la infraestructura y materiales requeridos para el desarrollo de la propuesta.</w:t>
      </w:r>
    </w:p>
    <w:p w14:paraId="27D6AF30" w14:textId="77777777" w:rsidR="0031134B" w:rsidRPr="006A4EA5" w:rsidRDefault="0031134B" w:rsidP="001D5B90">
      <w:pPr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4EA5">
        <w:rPr>
          <w:rFonts w:ascii="Arial" w:eastAsia="Arial" w:hAnsi="Arial" w:cs="Arial"/>
          <w:color w:val="000000"/>
          <w:sz w:val="24"/>
          <w:szCs w:val="24"/>
        </w:rPr>
        <w:t>Vinculación con las carreras que se dictan en la UNRN.</w:t>
      </w:r>
    </w:p>
    <w:p w14:paraId="720B9AFA" w14:textId="77777777" w:rsidR="0031134B" w:rsidRPr="006A4EA5" w:rsidRDefault="0031134B" w:rsidP="001D5B90">
      <w:pPr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4EA5">
        <w:rPr>
          <w:rFonts w:ascii="Arial" w:eastAsia="Arial" w:hAnsi="Arial" w:cs="Arial"/>
          <w:color w:val="000000"/>
          <w:sz w:val="24"/>
          <w:szCs w:val="24"/>
        </w:rPr>
        <w:t>Articulación con espacios barriales/territoriales.</w:t>
      </w:r>
    </w:p>
    <w:p w14:paraId="42456128" w14:textId="77777777" w:rsidR="0031134B" w:rsidRPr="006A4EA5" w:rsidRDefault="0031134B" w:rsidP="001D5B90">
      <w:pPr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4EA5">
        <w:rPr>
          <w:rFonts w:ascii="Arial" w:eastAsia="Arial" w:hAnsi="Arial" w:cs="Arial"/>
          <w:color w:val="000000"/>
          <w:sz w:val="24"/>
          <w:szCs w:val="24"/>
        </w:rPr>
        <w:t>Participación activa de estudiantes en la planificación y ejecución de propuestas de extensión.</w:t>
      </w:r>
    </w:p>
    <w:p w14:paraId="7AAD0A94" w14:textId="77777777" w:rsidR="0031134B" w:rsidRPr="006A4EA5" w:rsidRDefault="0031134B" w:rsidP="001D5B90">
      <w:pPr>
        <w:spacing w:before="120"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A4EA5">
        <w:rPr>
          <w:rFonts w:ascii="Arial" w:eastAsia="Arial" w:hAnsi="Arial" w:cs="Arial"/>
          <w:color w:val="000000"/>
          <w:sz w:val="24"/>
          <w:szCs w:val="24"/>
        </w:rPr>
        <w:t>A excepción de las actividades de Educación Continua, todas las propuestas deberán contar con participación estudiantil.</w:t>
      </w:r>
    </w:p>
    <w:p w14:paraId="5B7BC1CE" w14:textId="77777777" w:rsidR="0031134B" w:rsidRPr="006A4EA5" w:rsidRDefault="0031134B" w:rsidP="001D5B90">
      <w:pPr>
        <w:spacing w:before="120"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A4EA5">
        <w:rPr>
          <w:rFonts w:ascii="Arial" w:eastAsia="Arial" w:hAnsi="Arial" w:cs="Arial"/>
          <w:color w:val="000000"/>
          <w:sz w:val="24"/>
          <w:szCs w:val="24"/>
        </w:rPr>
        <w:t xml:space="preserve">En el caso de propuestas aprobadas de capacitaciones, talleres, cursos y otras actividades de educación continua, el inicio de las mismas quedará supeditado a confirmar el mínimo de </w:t>
      </w:r>
      <w:r w:rsidRPr="006A4EA5">
        <w:rPr>
          <w:rFonts w:ascii="Arial" w:eastAsia="Arial" w:hAnsi="Arial" w:cs="Arial"/>
          <w:sz w:val="24"/>
          <w:szCs w:val="24"/>
        </w:rPr>
        <w:t>8</w:t>
      </w:r>
      <w:r w:rsidRPr="006A4EA5">
        <w:rPr>
          <w:rFonts w:ascii="Arial" w:eastAsia="Arial" w:hAnsi="Arial" w:cs="Arial"/>
          <w:color w:val="000000"/>
          <w:sz w:val="24"/>
          <w:szCs w:val="24"/>
        </w:rPr>
        <w:t xml:space="preserve"> inscriptos.</w:t>
      </w:r>
    </w:p>
    <w:p w14:paraId="35C6E75C" w14:textId="77777777" w:rsidR="0031134B" w:rsidRPr="006A4EA5" w:rsidRDefault="0031134B" w:rsidP="001D5B90">
      <w:pPr>
        <w:spacing w:before="120" w:after="120" w:line="360" w:lineRule="auto"/>
        <w:jc w:val="both"/>
        <w:rPr>
          <w:rFonts w:ascii="Arial" w:eastAsia="Arial" w:hAnsi="Arial" w:cs="Arial"/>
          <w:b/>
          <w:color w:val="111111"/>
          <w:sz w:val="24"/>
          <w:szCs w:val="24"/>
          <w:u w:val="single"/>
        </w:rPr>
      </w:pPr>
      <w:r w:rsidRPr="006A4EA5">
        <w:rPr>
          <w:rFonts w:ascii="Arial" w:eastAsia="Arial" w:hAnsi="Arial" w:cs="Arial"/>
          <w:b/>
          <w:color w:val="111111"/>
          <w:sz w:val="24"/>
          <w:szCs w:val="24"/>
          <w:u w:val="single"/>
        </w:rPr>
        <w:t xml:space="preserve">Ejecución y Rendición de gastos: </w:t>
      </w:r>
    </w:p>
    <w:p w14:paraId="2AA68100" w14:textId="1F7A75D2" w:rsidR="0031134B" w:rsidRPr="006A4EA5" w:rsidRDefault="0031134B" w:rsidP="001D5B9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6A4EA5">
        <w:rPr>
          <w:rFonts w:ascii="Arial" w:hAnsi="Arial" w:cs="Arial"/>
          <w:sz w:val="24"/>
          <w:szCs w:val="24"/>
        </w:rPr>
        <w:t>El monto total de financiamiento solicitado deberá presentarse de forma detallada completando el cuadro de presupuesto que forma parte de los formularios de inscripción. Los gastos a financiar por esta Convocatoria deberán corresponder con los incis</w:t>
      </w:r>
      <w:r w:rsidR="00E03289" w:rsidRPr="006A4EA5">
        <w:rPr>
          <w:rFonts w:ascii="Arial" w:hAnsi="Arial" w:cs="Arial"/>
          <w:sz w:val="24"/>
          <w:szCs w:val="24"/>
        </w:rPr>
        <w:t>os y rubros establecidos en el A</w:t>
      </w:r>
      <w:r w:rsidRPr="006A4EA5">
        <w:rPr>
          <w:rFonts w:ascii="Arial" w:hAnsi="Arial" w:cs="Arial"/>
          <w:sz w:val="24"/>
          <w:szCs w:val="24"/>
        </w:rPr>
        <w:t xml:space="preserve">nexo de la Resolución </w:t>
      </w:r>
      <w:r w:rsidRPr="006A4EA5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2021-600-APN-ME, disponible en:</w:t>
      </w:r>
    </w:p>
    <w:p w14:paraId="50AFA8E7" w14:textId="2BBB9842" w:rsidR="0031134B" w:rsidRPr="006A4EA5" w:rsidRDefault="00C32B2C" w:rsidP="001D5B9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hyperlink r:id="rId9">
        <w:r w:rsidR="0031134B" w:rsidRPr="006A4EA5">
          <w:rPr>
            <w:rStyle w:val="EnlacedeInternet"/>
            <w:rFonts w:ascii="Arial" w:hAnsi="Arial" w:cs="Arial"/>
            <w:color w:val="auto"/>
            <w:sz w:val="24"/>
            <w:szCs w:val="24"/>
          </w:rPr>
          <w:t>file:///C:/Subsecretaria%20de%20Extension/Prog.%20Fortalecimiento%202022/anexo_2_rubros_financiables_1.pdf</w:t>
        </w:r>
      </w:hyperlink>
      <w:r w:rsidR="00E03289" w:rsidRPr="006A4EA5">
        <w:rPr>
          <w:rStyle w:val="EnlacedeInternet"/>
          <w:rFonts w:ascii="Arial" w:hAnsi="Arial" w:cs="Arial"/>
          <w:color w:val="auto"/>
          <w:sz w:val="24"/>
          <w:szCs w:val="24"/>
        </w:rPr>
        <w:t xml:space="preserve"> </w:t>
      </w:r>
    </w:p>
    <w:p w14:paraId="7DEF7FD4" w14:textId="1410F007" w:rsidR="0031134B" w:rsidRPr="006A4EA5" w:rsidRDefault="0031134B" w:rsidP="001D5B9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6A4EA5">
        <w:rPr>
          <w:rFonts w:ascii="Arial" w:hAnsi="Arial" w:cs="Arial"/>
          <w:sz w:val="24"/>
          <w:szCs w:val="24"/>
        </w:rPr>
        <w:t xml:space="preserve">Tal como el anexo lo detalla, </w:t>
      </w:r>
      <w:r w:rsidR="00E03289" w:rsidRPr="006A4EA5">
        <w:rPr>
          <w:rFonts w:ascii="Arial" w:hAnsi="Arial" w:cs="Arial"/>
          <w:sz w:val="24"/>
          <w:szCs w:val="24"/>
        </w:rPr>
        <w:t>NO</w:t>
      </w:r>
      <w:r w:rsidRPr="006A4EA5">
        <w:rPr>
          <w:rFonts w:ascii="Arial" w:hAnsi="Arial" w:cs="Arial"/>
          <w:sz w:val="24"/>
          <w:szCs w:val="24"/>
        </w:rPr>
        <w:t xml:space="preserve"> se contemplarán gastos correspondientes a los siguientes incisos y rubros: </w:t>
      </w:r>
    </w:p>
    <w:p w14:paraId="6807E704" w14:textId="77777777" w:rsidR="0031134B" w:rsidRPr="006A4EA5" w:rsidRDefault="0031134B" w:rsidP="001D5B9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6A4EA5">
        <w:rPr>
          <w:rFonts w:ascii="Arial" w:hAnsi="Arial" w:cs="Arial"/>
          <w:sz w:val="24"/>
          <w:szCs w:val="24"/>
        </w:rPr>
        <w:t xml:space="preserve">● </w:t>
      </w:r>
      <w:r w:rsidRPr="006A4EA5">
        <w:rPr>
          <w:rFonts w:ascii="Arial" w:hAnsi="Arial" w:cs="Arial"/>
          <w:sz w:val="24"/>
          <w:szCs w:val="24"/>
          <w:u w:val="single"/>
        </w:rPr>
        <w:t>1. Gastos en personal:</w:t>
      </w:r>
      <w:r w:rsidRPr="006A4EA5">
        <w:rPr>
          <w:rFonts w:ascii="Arial" w:hAnsi="Arial" w:cs="Arial"/>
          <w:sz w:val="24"/>
          <w:szCs w:val="24"/>
        </w:rPr>
        <w:t xml:space="preserve"> 1.1. Personal permanente, 1.2. Personal temporario, 1.3. Servicios extraordinarios, 1.4. Asignaciones familiares, 1.5. Asistencia social al personal, 1.6. Beneficios y compensaciones y 1.7. Gabinete de autoridades superiores. </w:t>
      </w:r>
    </w:p>
    <w:p w14:paraId="1236802A" w14:textId="77777777" w:rsidR="0031134B" w:rsidRPr="006A4EA5" w:rsidRDefault="0031134B" w:rsidP="001D5B9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6A4EA5">
        <w:rPr>
          <w:rFonts w:ascii="Arial" w:hAnsi="Arial" w:cs="Arial"/>
          <w:sz w:val="24"/>
          <w:szCs w:val="24"/>
        </w:rPr>
        <w:t xml:space="preserve">● </w:t>
      </w:r>
      <w:r w:rsidRPr="006A4EA5">
        <w:rPr>
          <w:rFonts w:ascii="Arial" w:hAnsi="Arial" w:cs="Arial"/>
          <w:sz w:val="24"/>
          <w:szCs w:val="24"/>
          <w:u w:val="single"/>
        </w:rPr>
        <w:t>3.1. Servicios no personales</w:t>
      </w:r>
      <w:r w:rsidRPr="006A4EA5">
        <w:rPr>
          <w:rFonts w:ascii="Arial" w:hAnsi="Arial" w:cs="Arial"/>
          <w:sz w:val="24"/>
          <w:szCs w:val="24"/>
        </w:rPr>
        <w:t xml:space="preserve"> - Servicios Básicos: energía eléctrica, agua, gas, teléfono, correos, otros.</w:t>
      </w:r>
    </w:p>
    <w:p w14:paraId="148D634B" w14:textId="77777777" w:rsidR="009F3339" w:rsidRDefault="009F3339" w:rsidP="001D5B90">
      <w:pPr>
        <w:spacing w:before="120" w:after="120" w:line="360" w:lineRule="auto"/>
        <w:jc w:val="both"/>
        <w:rPr>
          <w:rFonts w:ascii="Arial" w:eastAsia="Arial" w:hAnsi="Arial" w:cs="Arial"/>
          <w:b/>
          <w:color w:val="111111"/>
          <w:sz w:val="24"/>
          <w:szCs w:val="24"/>
        </w:rPr>
      </w:pPr>
    </w:p>
    <w:p w14:paraId="4FDF7A76" w14:textId="77777777" w:rsidR="0031134B" w:rsidRPr="006A4EA5" w:rsidRDefault="0031134B" w:rsidP="001D5B90">
      <w:pPr>
        <w:spacing w:before="120" w:after="120" w:line="360" w:lineRule="auto"/>
        <w:jc w:val="both"/>
        <w:rPr>
          <w:rFonts w:ascii="Arial" w:eastAsia="Arial" w:hAnsi="Arial" w:cs="Arial"/>
          <w:b/>
          <w:color w:val="111111"/>
          <w:sz w:val="24"/>
          <w:szCs w:val="24"/>
        </w:rPr>
      </w:pPr>
      <w:r w:rsidRPr="006A4EA5">
        <w:rPr>
          <w:rFonts w:ascii="Arial" w:eastAsia="Arial" w:hAnsi="Arial" w:cs="Arial"/>
          <w:b/>
          <w:color w:val="111111"/>
          <w:sz w:val="24"/>
          <w:szCs w:val="24"/>
        </w:rPr>
        <w:t>Por cuestiones asociadas a la compatibilidad de normativas de la Universidad Nacional de Río Negro y de la Secretaría de Políticas Universitarias (</w:t>
      </w:r>
      <w:r w:rsidRPr="006A4EA5">
        <w:rPr>
          <w:rFonts w:ascii="Arial" w:hAnsi="Arial" w:cs="Arial"/>
          <w:b/>
          <w:sz w:val="24"/>
          <w:szCs w:val="24"/>
        </w:rPr>
        <w:t xml:space="preserve">Res. </w:t>
      </w:r>
      <w:r w:rsidRPr="006A4EA5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2021-600-APN-ME</w:t>
      </w:r>
      <w:r w:rsidRPr="006A4EA5">
        <w:rPr>
          <w:rFonts w:ascii="Arial" w:hAnsi="Arial" w:cs="Arial"/>
          <w:b/>
          <w:sz w:val="24"/>
          <w:szCs w:val="24"/>
        </w:rPr>
        <w:t xml:space="preserve"> y su modificatoria N° 3082 de fecha 19 de octubre de 2021)</w:t>
      </w:r>
      <w:r w:rsidRPr="006A4EA5">
        <w:rPr>
          <w:rFonts w:ascii="Arial" w:eastAsia="Arial" w:hAnsi="Arial" w:cs="Arial"/>
          <w:b/>
          <w:color w:val="111111"/>
          <w:sz w:val="24"/>
          <w:szCs w:val="24"/>
        </w:rPr>
        <w:t xml:space="preserve">, la modalidad de ejecución y rendición de gastos asociados a las propuestas/iniciativas de extensión aprobadas se definirá en cada caso en acuerdo previo entre el equipo responsable de la iniciativa, la Subsecretaría de Extensión de Sede y la Subsecretaría de Extensión de la Universidad. </w:t>
      </w:r>
    </w:p>
    <w:p w14:paraId="4B69EB57" w14:textId="77777777" w:rsidR="0031134B" w:rsidRPr="006A4EA5" w:rsidRDefault="0031134B" w:rsidP="001D5B90">
      <w:pPr>
        <w:spacing w:before="120" w:after="120" w:line="360" w:lineRule="auto"/>
        <w:jc w:val="both"/>
        <w:rPr>
          <w:rFonts w:ascii="Arial" w:eastAsia="Arial" w:hAnsi="Arial" w:cs="Arial"/>
          <w:b/>
          <w:color w:val="111111"/>
          <w:sz w:val="24"/>
          <w:szCs w:val="24"/>
        </w:rPr>
      </w:pPr>
      <w:r w:rsidRPr="006A4EA5">
        <w:rPr>
          <w:rFonts w:ascii="Arial" w:eastAsia="Arial" w:hAnsi="Arial" w:cs="Arial"/>
          <w:b/>
          <w:color w:val="111111"/>
          <w:sz w:val="24"/>
          <w:szCs w:val="24"/>
        </w:rPr>
        <w:t>No se reconocerán comprobantes de gastos sin previa autorización.</w:t>
      </w:r>
    </w:p>
    <w:p w14:paraId="0983B9B8" w14:textId="22E41637" w:rsidR="0031134B" w:rsidRDefault="0031134B" w:rsidP="001D5B90">
      <w:pPr>
        <w:spacing w:before="120" w:after="120" w:line="360" w:lineRule="auto"/>
        <w:jc w:val="both"/>
        <w:rPr>
          <w:rFonts w:ascii="Arial" w:eastAsia="Arial" w:hAnsi="Arial" w:cs="Arial"/>
          <w:bCs/>
          <w:color w:val="111111"/>
          <w:sz w:val="24"/>
          <w:szCs w:val="24"/>
        </w:rPr>
      </w:pPr>
      <w:r w:rsidRPr="006A4EA5">
        <w:rPr>
          <w:rFonts w:ascii="Arial" w:eastAsia="Arial" w:hAnsi="Arial" w:cs="Arial"/>
          <w:b/>
          <w:color w:val="111111"/>
          <w:sz w:val="24"/>
          <w:szCs w:val="24"/>
        </w:rPr>
        <w:t xml:space="preserve">Presentación: </w:t>
      </w:r>
      <w:r w:rsidRPr="006A4EA5">
        <w:rPr>
          <w:rFonts w:ascii="Arial" w:eastAsia="Arial" w:hAnsi="Arial" w:cs="Arial"/>
          <w:bCs/>
          <w:color w:val="111111"/>
          <w:sz w:val="24"/>
          <w:szCs w:val="24"/>
        </w:rPr>
        <w:t xml:space="preserve">Las propuestas deben presentarse por correo electrónico a la cuenta: </w:t>
      </w:r>
      <w:hyperlink r:id="rId10">
        <w:r w:rsidRPr="006A4EA5">
          <w:rPr>
            <w:rStyle w:val="EnlacedeInternet"/>
            <w:rFonts w:ascii="Arial" w:eastAsia="Arial" w:hAnsi="Arial" w:cs="Arial"/>
            <w:bCs/>
            <w:sz w:val="24"/>
            <w:szCs w:val="24"/>
          </w:rPr>
          <w:t>extension@unrn.edu.ar</w:t>
        </w:r>
      </w:hyperlink>
      <w:r w:rsidRPr="006A4EA5">
        <w:rPr>
          <w:rFonts w:ascii="Arial" w:eastAsia="Arial" w:hAnsi="Arial" w:cs="Arial"/>
          <w:bCs/>
          <w:color w:val="111111"/>
          <w:sz w:val="24"/>
          <w:szCs w:val="24"/>
        </w:rPr>
        <w:t xml:space="preserve">  El asunto debe decir: “Convocatoria de extensión 2023-tipo de iniciativa-apellido responsable” (Ej: Convocatoria de Extensión 2023-Tipo5-Fernandez). Enviar formularios y documentación correspondientes a cada tipo de iniciativa tal como se detalla en los anexos I, II, III y IV.</w:t>
      </w:r>
    </w:p>
    <w:sectPr w:rsidR="0031134B" w:rsidSect="005745C6">
      <w:headerReference w:type="default" r:id="rId11"/>
      <w:pgSz w:w="11907" w:h="16839" w:code="9"/>
      <w:pgMar w:top="2268" w:right="851" w:bottom="1134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68B7C" w14:textId="77777777" w:rsidR="00C32B2C" w:rsidRDefault="00C32B2C">
      <w:pPr>
        <w:spacing w:after="0" w:line="240" w:lineRule="auto"/>
      </w:pPr>
      <w:r>
        <w:separator/>
      </w:r>
    </w:p>
  </w:endnote>
  <w:endnote w:type="continuationSeparator" w:id="0">
    <w:p w14:paraId="5C589D7A" w14:textId="77777777" w:rsidR="00C32B2C" w:rsidRDefault="00C3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9E849" w14:textId="77777777" w:rsidR="00C32B2C" w:rsidRDefault="00C32B2C">
      <w:pPr>
        <w:spacing w:after="0" w:line="240" w:lineRule="auto"/>
      </w:pPr>
      <w:r>
        <w:separator/>
      </w:r>
    </w:p>
  </w:footnote>
  <w:footnote w:type="continuationSeparator" w:id="0">
    <w:p w14:paraId="6305EF4B" w14:textId="77777777" w:rsidR="00C32B2C" w:rsidRDefault="00C32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68E1A" w14:textId="77777777" w:rsidR="001D5B90" w:rsidRPr="003A53CF" w:rsidRDefault="00C32B2C" w:rsidP="003A53CF">
    <w:pP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tag w:val="goog_rdk_4"/>
        <w:id w:val="-17245984"/>
      </w:sdtPr>
      <w:sdtEndPr/>
      <w:sdtContent>
        <w:r w:rsidR="001D5B90" w:rsidRPr="003A53CF">
          <w:rPr>
            <w:rFonts w:ascii="Arial" w:hAnsi="Arial" w:cs="Arial"/>
            <w:noProof/>
            <w:sz w:val="16"/>
            <w:szCs w:val="16"/>
          </w:rPr>
          <w:drawing>
            <wp:anchor distT="0" distB="0" distL="114300" distR="114300" simplePos="0" relativeHeight="251657728" behindDoc="0" locked="0" layoutInCell="1" hidden="0" allowOverlap="1" wp14:anchorId="628D99CD" wp14:editId="6D523818">
              <wp:simplePos x="0" y="0"/>
              <wp:positionH relativeFrom="column">
                <wp:posOffset>1</wp:posOffset>
              </wp:positionH>
              <wp:positionV relativeFrom="paragraph">
                <wp:posOffset>3810</wp:posOffset>
              </wp:positionV>
              <wp:extent cx="589915" cy="881380"/>
              <wp:effectExtent l="0" t="0" r="0" b="0"/>
              <wp:wrapSquare wrapText="bothSides" distT="0" distB="0" distL="114300" distR="114300"/>
              <wp:docPr id="2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9915" cy="881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sdtContent>
    </w:sdt>
  </w:p>
  <w:p w14:paraId="7D0AC22B" w14:textId="77777777" w:rsidR="001D5B90" w:rsidRPr="003A53CF" w:rsidRDefault="001D5B90" w:rsidP="003A53CF">
    <w:pP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sz w:val="16"/>
        <w:szCs w:val="16"/>
      </w:rPr>
    </w:pPr>
  </w:p>
  <w:p w14:paraId="326F3B3A" w14:textId="77777777" w:rsidR="001D5B90" w:rsidRPr="003A53CF" w:rsidRDefault="001D5B90" w:rsidP="003A53CF">
    <w:pP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sz w:val="16"/>
        <w:szCs w:val="16"/>
      </w:rPr>
    </w:pPr>
  </w:p>
  <w:p w14:paraId="05A3DE4F" w14:textId="4A86D47A" w:rsidR="001D5B90" w:rsidRPr="003A53CF" w:rsidRDefault="001D5B90" w:rsidP="003A53CF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i/>
        <w:iCs/>
        <w:color w:val="222222"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“</w:t>
    </w:r>
    <w:r w:rsidRPr="00091078">
      <w:rPr>
        <w:rFonts w:ascii="Arial" w:hAnsi="Arial" w:cs="Arial"/>
        <w:i/>
        <w:iCs/>
        <w:sz w:val="16"/>
        <w:szCs w:val="16"/>
      </w:rPr>
      <w:t>1983/2023 - 40 años de democracia</w:t>
    </w:r>
    <w:r>
      <w:rPr>
        <w:rFonts w:ascii="Arial" w:hAnsi="Arial" w:cs="Arial"/>
        <w:i/>
        <w:iCs/>
        <w:sz w:val="16"/>
        <w:szCs w:val="16"/>
      </w:rPr>
      <w:t>”</w:t>
    </w:r>
  </w:p>
  <w:p w14:paraId="1B7A6734" w14:textId="43D6C0FA" w:rsidR="001D5B90" w:rsidRPr="003A53CF" w:rsidRDefault="001D5B90" w:rsidP="003A53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58EE"/>
    <w:multiLevelType w:val="multilevel"/>
    <w:tmpl w:val="767E44B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1">
    <w:nsid w:val="13E85CEB"/>
    <w:multiLevelType w:val="multilevel"/>
    <w:tmpl w:val="F9A27F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E486D"/>
    <w:multiLevelType w:val="hybridMultilevel"/>
    <w:tmpl w:val="3A7042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12E0D"/>
    <w:multiLevelType w:val="hybridMultilevel"/>
    <w:tmpl w:val="4FC838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E47D1"/>
    <w:multiLevelType w:val="multilevel"/>
    <w:tmpl w:val="E244D22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5">
    <w:nsid w:val="4D9E6CF6"/>
    <w:multiLevelType w:val="hybridMultilevel"/>
    <w:tmpl w:val="E39EA3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94EE2"/>
    <w:multiLevelType w:val="hybridMultilevel"/>
    <w:tmpl w:val="DAB01A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47ABF"/>
    <w:multiLevelType w:val="hybridMultilevel"/>
    <w:tmpl w:val="E5360F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745A3"/>
    <w:multiLevelType w:val="hybridMultilevel"/>
    <w:tmpl w:val="ED5EC7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74A8"/>
    <w:rsid w:val="00091078"/>
    <w:rsid w:val="00164B05"/>
    <w:rsid w:val="001D5B90"/>
    <w:rsid w:val="002663D3"/>
    <w:rsid w:val="00283C2C"/>
    <w:rsid w:val="002C30A4"/>
    <w:rsid w:val="002D40F5"/>
    <w:rsid w:val="0031134B"/>
    <w:rsid w:val="003537DA"/>
    <w:rsid w:val="003A53CF"/>
    <w:rsid w:val="003D188B"/>
    <w:rsid w:val="003F0DA5"/>
    <w:rsid w:val="004613C6"/>
    <w:rsid w:val="004C7860"/>
    <w:rsid w:val="0052504F"/>
    <w:rsid w:val="005601FE"/>
    <w:rsid w:val="005745C6"/>
    <w:rsid w:val="006274A8"/>
    <w:rsid w:val="006A4EA5"/>
    <w:rsid w:val="006D2282"/>
    <w:rsid w:val="007C2B4E"/>
    <w:rsid w:val="00874622"/>
    <w:rsid w:val="008C3461"/>
    <w:rsid w:val="008D01BF"/>
    <w:rsid w:val="009F3339"/>
    <w:rsid w:val="00A401C6"/>
    <w:rsid w:val="00A85406"/>
    <w:rsid w:val="00AD5F97"/>
    <w:rsid w:val="00B57AA8"/>
    <w:rsid w:val="00B81A2E"/>
    <w:rsid w:val="00C32B2C"/>
    <w:rsid w:val="00C66618"/>
    <w:rsid w:val="00CA086B"/>
    <w:rsid w:val="00D17123"/>
    <w:rsid w:val="00D46E18"/>
    <w:rsid w:val="00D734FB"/>
    <w:rsid w:val="00D92E87"/>
    <w:rsid w:val="00E03289"/>
    <w:rsid w:val="00E530BB"/>
    <w:rsid w:val="00F84991"/>
    <w:rsid w:val="00FB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2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B7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88D"/>
  </w:style>
  <w:style w:type="paragraph" w:styleId="Piedepgina">
    <w:name w:val="footer"/>
    <w:basedOn w:val="Normal"/>
    <w:link w:val="PiedepginaCar"/>
    <w:uiPriority w:val="99"/>
    <w:unhideWhenUsed/>
    <w:rsid w:val="00BB7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88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0F5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4C786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EnlacedeInternet">
    <w:name w:val="Enlace de Internet"/>
    <w:basedOn w:val="Fuentedeprrafopredeter"/>
    <w:uiPriority w:val="99"/>
    <w:unhideWhenUsed/>
    <w:rsid w:val="0031134B"/>
    <w:rPr>
      <w:color w:val="0000FF" w:themeColor="hyperlink"/>
      <w:u w:val="single"/>
    </w:rPr>
  </w:style>
  <w:style w:type="paragraph" w:customStyle="1" w:styleId="Default">
    <w:name w:val="Default"/>
    <w:qFormat/>
    <w:rsid w:val="0031134B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31134B"/>
    <w:pPr>
      <w:ind w:left="720"/>
      <w:contextualSpacing/>
    </w:pPr>
    <w:rPr>
      <w:lang w:eastAsia="es-ES_tradnl"/>
    </w:rPr>
  </w:style>
  <w:style w:type="table" w:styleId="Tablaconcuadrcula">
    <w:name w:val="Table Grid"/>
    <w:basedOn w:val="Tablanormal"/>
    <w:uiPriority w:val="39"/>
    <w:rsid w:val="0031134B"/>
    <w:pPr>
      <w:spacing w:after="0" w:line="240" w:lineRule="auto"/>
    </w:pPr>
    <w:rPr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B7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88D"/>
  </w:style>
  <w:style w:type="paragraph" w:styleId="Piedepgina">
    <w:name w:val="footer"/>
    <w:basedOn w:val="Normal"/>
    <w:link w:val="PiedepginaCar"/>
    <w:uiPriority w:val="99"/>
    <w:unhideWhenUsed/>
    <w:rsid w:val="00BB7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88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0F5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4C786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EnlacedeInternet">
    <w:name w:val="Enlace de Internet"/>
    <w:basedOn w:val="Fuentedeprrafopredeter"/>
    <w:uiPriority w:val="99"/>
    <w:unhideWhenUsed/>
    <w:rsid w:val="0031134B"/>
    <w:rPr>
      <w:color w:val="0000FF" w:themeColor="hyperlink"/>
      <w:u w:val="single"/>
    </w:rPr>
  </w:style>
  <w:style w:type="paragraph" w:customStyle="1" w:styleId="Default">
    <w:name w:val="Default"/>
    <w:qFormat/>
    <w:rsid w:val="0031134B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31134B"/>
    <w:pPr>
      <w:ind w:left="720"/>
      <w:contextualSpacing/>
    </w:pPr>
    <w:rPr>
      <w:lang w:eastAsia="es-ES_tradnl"/>
    </w:rPr>
  </w:style>
  <w:style w:type="table" w:styleId="Tablaconcuadrcula">
    <w:name w:val="Table Grid"/>
    <w:basedOn w:val="Tablanormal"/>
    <w:uiPriority w:val="39"/>
    <w:rsid w:val="0031134B"/>
    <w:pPr>
      <w:spacing w:after="0" w:line="240" w:lineRule="auto"/>
    </w:pPr>
    <w:rPr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0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xtension@unrn.edu.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C:\Subsecretaria%20de%20Extension\Prog.%20Fortalecimiento%202022\anexo_2_rubros_financiables_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yh/L++1Im6nm4EMAsAZZgIAGA==">AMUW2mVp3RJ22TqizpFd02zC5is3TGSqgHfj1vjAFgFsPjXJXivmLr31D0xkJfQ4lQi66GZ5mHHQLrG+Ex9MZXdWJz9WwvHtE0PTdsAJISIUK7h5EXcOatf5DadR06/s+TQ5PBCYMGEvEVGod7H8b6Fo5xAs/qEF0apfbfyIJbYW/0N6kEOwST0=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lgallo</dc:creator>
  <cp:lastModifiedBy>sfernandez</cp:lastModifiedBy>
  <cp:revision>2</cp:revision>
  <dcterms:created xsi:type="dcterms:W3CDTF">2023-02-08T11:11:00Z</dcterms:created>
  <dcterms:modified xsi:type="dcterms:W3CDTF">2023-02-08T11:11:00Z</dcterms:modified>
</cp:coreProperties>
</file>